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E6" w:rsidRPr="008062E6" w:rsidRDefault="008062E6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E6" w:rsidRDefault="00B572B2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ÇOCUKLUK ÇAĞI </w:t>
      </w:r>
      <w:r w:rsidRPr="008062E6">
        <w:rPr>
          <w:rFonts w:ascii="Times New Roman" w:hAnsi="Times New Roman" w:cs="Times New Roman"/>
          <w:b/>
          <w:sz w:val="24"/>
          <w:szCs w:val="24"/>
        </w:rPr>
        <w:t>AKUT MİYELOİD LÖSEMİ</w:t>
      </w:r>
      <w:r w:rsidR="00B42DF7">
        <w:rPr>
          <w:rFonts w:ascii="Times New Roman" w:hAnsi="Times New Roman" w:cs="Times New Roman"/>
          <w:b/>
          <w:sz w:val="24"/>
          <w:szCs w:val="24"/>
        </w:rPr>
        <w:t>DE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TANI VE TEDAVİ KILAVUZU</w:t>
      </w:r>
    </w:p>
    <w:p w:rsidR="008062E6" w:rsidRDefault="008062E6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E6" w:rsidRDefault="008062E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1E">
        <w:rPr>
          <w:rFonts w:ascii="Times New Roman" w:hAnsi="Times New Roman" w:cs="Times New Roman"/>
          <w:sz w:val="24"/>
          <w:szCs w:val="24"/>
        </w:rPr>
        <w:t xml:space="preserve">Çocuklukta akut </w:t>
      </w:r>
      <w:proofErr w:type="spellStart"/>
      <w:r w:rsidRPr="00B46C1E">
        <w:rPr>
          <w:rFonts w:ascii="Times New Roman" w:hAnsi="Times New Roman" w:cs="Times New Roman"/>
          <w:sz w:val="24"/>
          <w:szCs w:val="24"/>
        </w:rPr>
        <w:t>miyeloid</w:t>
      </w:r>
      <w:proofErr w:type="spellEnd"/>
      <w:r w:rsidRPr="00B46C1E">
        <w:rPr>
          <w:rFonts w:ascii="Times New Roman" w:hAnsi="Times New Roman" w:cs="Times New Roman"/>
          <w:sz w:val="24"/>
          <w:szCs w:val="24"/>
        </w:rPr>
        <w:t xml:space="preserve"> lösemi </w:t>
      </w:r>
      <w:r w:rsidR="00B46C1E" w:rsidRPr="00B46C1E">
        <w:rPr>
          <w:rFonts w:ascii="Times New Roman" w:hAnsi="Times New Roman" w:cs="Times New Roman"/>
          <w:sz w:val="24"/>
          <w:szCs w:val="24"/>
        </w:rPr>
        <w:t xml:space="preserve">on beş yaş altı çocuklarda </w:t>
      </w:r>
      <w:proofErr w:type="spellStart"/>
      <w:r w:rsidR="00B46C1E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="00B46C1E">
        <w:rPr>
          <w:rFonts w:ascii="Times New Roman" w:hAnsi="Times New Roman" w:cs="Times New Roman"/>
          <w:sz w:val="24"/>
          <w:szCs w:val="24"/>
        </w:rPr>
        <w:t xml:space="preserve"> milyonda 7 olan nadir ve heterojen bir hastalıktır. Yoğun tedavi ve </w:t>
      </w:r>
      <w:r w:rsidR="00EB6701">
        <w:rPr>
          <w:rFonts w:ascii="Times New Roman" w:hAnsi="Times New Roman" w:cs="Times New Roman"/>
          <w:sz w:val="24"/>
          <w:szCs w:val="24"/>
        </w:rPr>
        <w:t xml:space="preserve">etkin destek tedavi ile </w:t>
      </w:r>
      <w:proofErr w:type="spellStart"/>
      <w:r w:rsidR="00EB6701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="00EB6701">
        <w:rPr>
          <w:rFonts w:ascii="Times New Roman" w:hAnsi="Times New Roman" w:cs="Times New Roman"/>
          <w:sz w:val="24"/>
          <w:szCs w:val="24"/>
        </w:rPr>
        <w:t xml:space="preserve"> oranları gelişmiş ülkelerde %70’lere kadar ulaşmıştır.</w:t>
      </w:r>
    </w:p>
    <w:p w:rsidR="00B572B2" w:rsidRDefault="00B572B2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KLİNİK VE LABORATUVAR BULGULARI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2B2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hastaların çoğunda kemik iliği ve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lösemik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infiltrasyona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bağlı bulgular ön plandadır. Ateş, solukluk, halsizlik, kanama, kemik ağrısı, kilo kaybı ve </w:t>
      </w:r>
      <w:proofErr w:type="gramStart"/>
      <w:r w:rsidRPr="00B572B2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572B2">
        <w:rPr>
          <w:rFonts w:ascii="Times New Roman" w:hAnsi="Times New Roman" w:cs="Times New Roman"/>
          <w:sz w:val="24"/>
          <w:szCs w:val="24"/>
        </w:rPr>
        <w:t xml:space="preserve"> bulguları vardır. Olguların % 15 kadarında MSS tutulumu vardır.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lösemik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infiltrasyon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lenfadenopati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hepatosplenomegali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deri,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gingiva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orbita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epidural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alan,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miyel</w:t>
      </w:r>
      <w:r>
        <w:rPr>
          <w:rFonts w:ascii="Times New Roman" w:hAnsi="Times New Roman" w:cs="Times New Roman"/>
          <w:sz w:val="24"/>
          <w:szCs w:val="24"/>
        </w:rPr>
        <w:t>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257">
        <w:rPr>
          <w:rFonts w:ascii="Times New Roman" w:hAnsi="Times New Roman" w:cs="Times New Roman"/>
          <w:sz w:val="24"/>
          <w:szCs w:val="24"/>
        </w:rPr>
        <w:t xml:space="preserve">sarkom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granülositik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sarkom/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kloroma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) şeklinde olabilir.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Kloromalar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özellikle FAB AML M2, M4 ve M5’de görülür. Testis tutulumu nadirdir.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 xml:space="preserve">Anemi,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sıktır.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kan yaymasında olguların çoğunda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blastik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hücreler görülebilir.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APL’de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yaygın</w:t>
      </w:r>
      <w:r>
        <w:rPr>
          <w:rFonts w:ascii="Times New Roman" w:hAnsi="Times New Roman" w:cs="Times New Roman"/>
          <w:sz w:val="24"/>
          <w:szCs w:val="24"/>
        </w:rPr>
        <w:t xml:space="preserve"> tüketim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koagülopatisi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gelişebilir.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B2" w:rsidRPr="00132805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2B2" w:rsidRPr="00132805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05">
        <w:rPr>
          <w:rFonts w:ascii="Times New Roman" w:hAnsi="Times New Roman" w:cs="Times New Roman"/>
          <w:b/>
          <w:sz w:val="24"/>
          <w:szCs w:val="24"/>
        </w:rPr>
        <w:t>BAŞLANGIÇTA TANI İÇİN YAPILACAKLAR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 xml:space="preserve">Hastanın klinik bulguları ve durumu ile ilişkilidir. Bazı incelemeler istisnai durumlarda, örneğin </w:t>
      </w:r>
      <w:proofErr w:type="gramStart"/>
      <w:r w:rsidRPr="00B572B2">
        <w:rPr>
          <w:rFonts w:ascii="Times New Roman" w:hAnsi="Times New Roman" w:cs="Times New Roman"/>
          <w:sz w:val="24"/>
          <w:szCs w:val="24"/>
        </w:rPr>
        <w:t>küçük</w:t>
      </w:r>
      <w:proofErr w:type="gramEnd"/>
      <w:r w:rsidRPr="00B572B2">
        <w:rPr>
          <w:rFonts w:ascii="Times New Roman" w:hAnsi="Times New Roman" w:cs="Times New Roman"/>
          <w:sz w:val="24"/>
          <w:szCs w:val="24"/>
        </w:rPr>
        <w:t xml:space="preserve"> çocuklar veya başlangıçta kanama tehlikesi olması nedeniyle yapılmayabilir. Sonuçların birleşimi löseminin tutulum yerlerini net olarak belirlemelidir, aynı zamanda verilecek tedavinin olası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etkilerinin saptanmasında önemli olacak tedavi öncesi organ fonksiyonlarını (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>. kalp, beyin ve böbrekler) da göstermelidir.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B2" w:rsidRPr="0026718C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18C">
        <w:rPr>
          <w:rFonts w:ascii="Times New Roman" w:hAnsi="Times New Roman" w:cs="Times New Roman"/>
          <w:b/>
          <w:sz w:val="24"/>
          <w:szCs w:val="24"/>
        </w:rPr>
        <w:t>Anamnezde</w:t>
      </w:r>
      <w:proofErr w:type="spellEnd"/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Önceden geçirilmiş hematolojik hastalıklar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İmmun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yetmezlikler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Sendromlar sorgulanmalıdır.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2B2" w:rsidRPr="0026718C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8C">
        <w:rPr>
          <w:rFonts w:ascii="Times New Roman" w:hAnsi="Times New Roman" w:cs="Times New Roman"/>
          <w:b/>
          <w:sz w:val="24"/>
          <w:szCs w:val="24"/>
        </w:rPr>
        <w:t>Fizik Muayenede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Kanama bulgusu (deri, mukoza</w:t>
      </w:r>
      <w:r>
        <w:rPr>
          <w:rFonts w:ascii="Times New Roman" w:hAnsi="Times New Roman" w:cs="Times New Roman"/>
          <w:sz w:val="24"/>
          <w:szCs w:val="24"/>
        </w:rPr>
        <w:t>, duruma göre gerekirse retina)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Organ büyüklükleri (karaciğer, dalak, duruma göre böbrekler, testisler)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lastRenderedPageBreak/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Akciğer dinleme bulguları (</w:t>
      </w:r>
      <w:proofErr w:type="gramStart"/>
      <w:r w:rsidRPr="00B572B2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572B2">
        <w:rPr>
          <w:rFonts w:ascii="Times New Roman" w:hAnsi="Times New Roman" w:cs="Times New Roman"/>
          <w:sz w:val="24"/>
          <w:szCs w:val="24"/>
        </w:rPr>
        <w:t>, bası?)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 xml:space="preserve">Lenf düğümleri (lütfen cm olarak belirtiniz), deri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infiltratları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,  diğer 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bulgular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Nörolojik durum (</w:t>
      </w:r>
      <w:proofErr w:type="spellStart"/>
      <w:r w:rsidRPr="00B572B2"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 w:rsidRPr="00B572B2">
        <w:rPr>
          <w:rFonts w:ascii="Times New Roman" w:hAnsi="Times New Roman" w:cs="Times New Roman"/>
          <w:sz w:val="24"/>
          <w:szCs w:val="24"/>
        </w:rPr>
        <w:t xml:space="preserve"> sinir tutulumu)</w:t>
      </w:r>
    </w:p>
    <w:p w:rsidR="00B572B2" w:rsidRPr="00B572B2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Kemik ve eklemler (kemik hassasiyeti, şişlikler, hareket kısıtlılıkları)</w:t>
      </w:r>
    </w:p>
    <w:p w:rsidR="00132805" w:rsidRDefault="00B572B2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B2">
        <w:rPr>
          <w:rFonts w:ascii="Times New Roman" w:hAnsi="Times New Roman" w:cs="Times New Roman"/>
          <w:sz w:val="24"/>
          <w:szCs w:val="24"/>
        </w:rPr>
        <w:t></w:t>
      </w:r>
      <w:r w:rsidRPr="00B572B2">
        <w:rPr>
          <w:rFonts w:ascii="Times New Roman" w:hAnsi="Times New Roman" w:cs="Times New Roman"/>
          <w:sz w:val="24"/>
          <w:szCs w:val="24"/>
        </w:rPr>
        <w:tab/>
        <w:t>Göz muayenesi bulgularına dikkat edilmelidir.</w:t>
      </w:r>
    </w:p>
    <w:p w:rsidR="00132805" w:rsidRDefault="00132805" w:rsidP="00B57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C7" w:rsidRPr="00623DC9" w:rsidRDefault="00623DC9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DC9">
        <w:rPr>
          <w:rFonts w:ascii="Times New Roman" w:hAnsi="Times New Roman" w:cs="Times New Roman"/>
          <w:b/>
          <w:sz w:val="24"/>
          <w:szCs w:val="24"/>
        </w:rPr>
        <w:t>Tablo</w:t>
      </w:r>
      <w:r w:rsidR="00781BC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23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1D7" w:rsidRPr="00623DC9">
        <w:rPr>
          <w:rFonts w:ascii="Times New Roman" w:hAnsi="Times New Roman" w:cs="Times New Roman"/>
          <w:b/>
          <w:sz w:val="24"/>
          <w:szCs w:val="24"/>
        </w:rPr>
        <w:t>AML’li</w:t>
      </w:r>
      <w:proofErr w:type="spellEnd"/>
      <w:r w:rsidR="005F31D7" w:rsidRPr="00623DC9">
        <w:rPr>
          <w:rFonts w:ascii="Times New Roman" w:hAnsi="Times New Roman" w:cs="Times New Roman"/>
          <w:b/>
          <w:sz w:val="24"/>
          <w:szCs w:val="24"/>
        </w:rPr>
        <w:t xml:space="preserve"> çocuk hastalarda ilk tanıda önerilen test ve işlemler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8C7" w:rsidTr="00C868C7">
        <w:tc>
          <w:tcPr>
            <w:tcW w:w="4531" w:type="dxa"/>
          </w:tcPr>
          <w:p w:rsidR="00C868C7" w:rsidRPr="00FF7E6D" w:rsidRDefault="00C868C7" w:rsidP="00FF7E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6D">
              <w:rPr>
                <w:rFonts w:ascii="Times New Roman" w:hAnsi="Times New Roman" w:cs="Times New Roman"/>
                <w:b/>
                <w:sz w:val="24"/>
                <w:szCs w:val="24"/>
              </w:rPr>
              <w:t>Test/ İşlem</w:t>
            </w:r>
          </w:p>
        </w:tc>
        <w:tc>
          <w:tcPr>
            <w:tcW w:w="4531" w:type="dxa"/>
          </w:tcPr>
          <w:p w:rsidR="00C868C7" w:rsidRPr="00FF7E6D" w:rsidRDefault="00FF7E6D" w:rsidP="00FF7E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6D">
              <w:rPr>
                <w:rFonts w:ascii="Times New Roman" w:hAnsi="Times New Roman" w:cs="Times New Roman"/>
                <w:b/>
                <w:sz w:val="24"/>
                <w:szCs w:val="24"/>
              </w:rPr>
              <w:t>Gerekçesi</w:t>
            </w:r>
          </w:p>
        </w:tc>
      </w:tr>
      <w:tr w:rsidR="00C868C7" w:rsidTr="00C868C7">
        <w:tc>
          <w:tcPr>
            <w:tcW w:w="4531" w:type="dxa"/>
          </w:tcPr>
          <w:p w:rsidR="00C868C7" w:rsidRPr="00FF7E6D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6D">
              <w:rPr>
                <w:rFonts w:ascii="Times New Roman" w:hAnsi="Times New Roman" w:cs="Times New Roman"/>
                <w:b/>
                <w:sz w:val="24"/>
                <w:szCs w:val="24"/>
              </w:rPr>
              <w:t>Tanı koymaya yönelik testler</w:t>
            </w:r>
          </w:p>
        </w:tc>
        <w:tc>
          <w:tcPr>
            <w:tcW w:w="4531" w:type="dxa"/>
          </w:tcPr>
          <w:p w:rsidR="00C868C7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C7" w:rsidTr="00C868C7">
        <w:tc>
          <w:tcPr>
            <w:tcW w:w="4531" w:type="dxa"/>
          </w:tcPr>
          <w:p w:rsidR="00C868C7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kan sayımı ve lökosit formülü</w:t>
            </w:r>
          </w:p>
        </w:tc>
        <w:tc>
          <w:tcPr>
            <w:tcW w:w="4531" w:type="dxa"/>
          </w:tcPr>
          <w:p w:rsidR="00C868C7" w:rsidRDefault="00FF7E6D" w:rsidP="005F3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Tanı, </w:t>
            </w:r>
            <w:r w:rsidR="005F31D7">
              <w:rPr>
                <w:rFonts w:ascii="Times New Roman" w:hAnsi="Times New Roman" w:cs="Times New Roman"/>
                <w:sz w:val="24"/>
                <w:szCs w:val="24"/>
              </w:rPr>
              <w:t xml:space="preserve">başlangıçtaki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riskler</w:t>
            </w:r>
          </w:p>
        </w:tc>
      </w:tr>
      <w:tr w:rsidR="00C868C7" w:rsidTr="00C868C7">
        <w:tc>
          <w:tcPr>
            <w:tcW w:w="4531" w:type="dxa"/>
          </w:tcPr>
          <w:p w:rsidR="00C868C7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Kemik iliği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aspirasyonu</w:t>
            </w:r>
            <w:proofErr w:type="spellEnd"/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</w:p>
        </w:tc>
      </w:tr>
      <w:tr w:rsidR="00C868C7" w:rsidTr="00C868C7">
        <w:tc>
          <w:tcPr>
            <w:tcW w:w="4531" w:type="dxa"/>
          </w:tcPr>
          <w:p w:rsidR="00C868C7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Kemik iliği biyopsisi</w:t>
            </w:r>
            <w:r w:rsidR="00FB0B78" w:rsidRPr="00FB0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ponsiyon</w:t>
            </w:r>
            <w:r w:rsidR="00FB0B78" w:rsidRPr="00FB0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Tanı, tedavi,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</w:t>
            </w:r>
            <w:proofErr w:type="spellEnd"/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İmmunfenotipleme</w:t>
            </w:r>
            <w:proofErr w:type="spellEnd"/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Sitogenetik</w:t>
            </w:r>
            <w:proofErr w:type="spellEnd"/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Tanı, tedavi,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</w:t>
            </w:r>
            <w:proofErr w:type="spellEnd"/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genetik/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translokasyonlar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/mutasyonlar</w:t>
            </w:r>
          </w:p>
        </w:tc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Tanı, tedavi,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</w:t>
            </w:r>
            <w:proofErr w:type="spellEnd"/>
          </w:p>
        </w:tc>
      </w:tr>
      <w:tr w:rsidR="00C868C7" w:rsidTr="00C868C7">
        <w:tc>
          <w:tcPr>
            <w:tcW w:w="4531" w:type="dxa"/>
          </w:tcPr>
          <w:p w:rsidR="00C868C7" w:rsidRPr="00FF7E6D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6D">
              <w:rPr>
                <w:rFonts w:ascii="Times New Roman" w:hAnsi="Times New Roman" w:cs="Times New Roman"/>
                <w:b/>
                <w:sz w:val="24"/>
                <w:szCs w:val="24"/>
              </w:rPr>
              <w:t>Tanıdaki ek testler/işlemler</w:t>
            </w:r>
          </w:p>
        </w:tc>
        <w:tc>
          <w:tcPr>
            <w:tcW w:w="4531" w:type="dxa"/>
          </w:tcPr>
          <w:p w:rsidR="00C868C7" w:rsidRDefault="00C868C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Demografik bilgiler ve tıbbi öykü</w:t>
            </w:r>
            <w:r w:rsidR="00AC15DB" w:rsidRPr="00AC15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Başlangıçtaki riskler</w:t>
            </w:r>
          </w:p>
        </w:tc>
      </w:tr>
      <w:tr w:rsidR="00C868C7" w:rsidTr="00C868C7">
        <w:tc>
          <w:tcPr>
            <w:tcW w:w="4531" w:type="dxa"/>
          </w:tcPr>
          <w:p w:rsidR="00C868C7" w:rsidRDefault="00FF7E6D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durumu (WHO skoru)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Başlangıçtaki riskler</w:t>
            </w:r>
          </w:p>
        </w:tc>
      </w:tr>
      <w:tr w:rsidR="00C868C7" w:rsidTr="00C868C7">
        <w:tc>
          <w:tcPr>
            <w:tcW w:w="4531" w:type="dxa"/>
          </w:tcPr>
          <w:p w:rsidR="00C868C7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muayene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Tanı, yan etkiler</w:t>
            </w:r>
          </w:p>
        </w:tc>
      </w:tr>
      <w:tr w:rsidR="00C868C7" w:rsidTr="00C868C7">
        <w:tc>
          <w:tcPr>
            <w:tcW w:w="4531" w:type="dxa"/>
          </w:tcPr>
          <w:p w:rsidR="00C868C7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Sendromlar, eşlik eden hastalıklar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Tedavi,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</w:t>
            </w:r>
            <w:proofErr w:type="spellEnd"/>
          </w:p>
        </w:tc>
      </w:tr>
      <w:tr w:rsidR="00C868C7" w:rsidTr="00C868C7">
        <w:tc>
          <w:tcPr>
            <w:tcW w:w="4531" w:type="dxa"/>
          </w:tcPr>
          <w:p w:rsidR="004814F9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Biyokimya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koagülasyon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testleri</w:t>
            </w:r>
            <w:r w:rsidR="00525D8B" w:rsidRPr="00525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Başlangıçtaki riskler</w:t>
            </w:r>
          </w:p>
        </w:tc>
      </w:tr>
      <w:tr w:rsidR="00C868C7" w:rsidTr="00C868C7">
        <w:tc>
          <w:tcPr>
            <w:tcW w:w="4531" w:type="dxa"/>
          </w:tcPr>
          <w:p w:rsidR="00C868C7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Gebelik testi</w:t>
            </w:r>
            <w:r w:rsidR="00E6310A" w:rsidRPr="00E63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</w:p>
        </w:tc>
      </w:tr>
      <w:tr w:rsidR="00C868C7" w:rsidTr="00C868C7">
        <w:tc>
          <w:tcPr>
            <w:tcW w:w="4531" w:type="dxa"/>
          </w:tcPr>
          <w:p w:rsidR="004814F9" w:rsidRDefault="004814F9" w:rsidP="004814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 A, B</w:t>
            </w:r>
            <w:r w:rsidR="00E6310A">
              <w:rPr>
                <w:rFonts w:ascii="Times New Roman" w:hAnsi="Times New Roman" w:cs="Times New Roman"/>
                <w:sz w:val="24"/>
                <w:szCs w:val="24"/>
              </w:rPr>
              <w:t>, C,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V, EBV,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Varicella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zoster</w:t>
            </w:r>
            <w:proofErr w:type="spellEnd"/>
            <w:r w:rsidR="005F31D7">
              <w:rPr>
                <w:rFonts w:ascii="Times New Roman" w:hAnsi="Times New Roman" w:cs="Times New Roman"/>
                <w:sz w:val="24"/>
                <w:szCs w:val="24"/>
              </w:rPr>
              <w:t>, HIV-1</w:t>
            </w:r>
            <w:r w:rsidR="00E6310A" w:rsidRPr="00E63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F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Tanı, yan etkiler</w:t>
            </w:r>
          </w:p>
        </w:tc>
      </w:tr>
      <w:tr w:rsidR="00C868C7" w:rsidTr="00C868C7">
        <w:tc>
          <w:tcPr>
            <w:tcW w:w="4531" w:type="dxa"/>
          </w:tcPr>
          <w:p w:rsidR="00C868C7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 grubu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</w:p>
        </w:tc>
      </w:tr>
      <w:tr w:rsidR="005F31D7" w:rsidTr="00C868C7">
        <w:tc>
          <w:tcPr>
            <w:tcW w:w="4531" w:type="dxa"/>
          </w:tcPr>
          <w:p w:rsidR="005F31D7" w:rsidRPr="00781BCF" w:rsidRDefault="005F31D7" w:rsidP="005F3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CF">
              <w:rPr>
                <w:rFonts w:ascii="Times New Roman" w:hAnsi="Times New Roman" w:cs="Times New Roman"/>
                <w:sz w:val="24"/>
                <w:szCs w:val="24"/>
              </w:rPr>
              <w:t xml:space="preserve">HLA </w:t>
            </w:r>
            <w:proofErr w:type="spellStart"/>
            <w:r w:rsidRPr="00781BCF">
              <w:rPr>
                <w:rFonts w:ascii="Times New Roman" w:hAnsi="Times New Roman" w:cs="Times New Roman"/>
                <w:sz w:val="24"/>
                <w:szCs w:val="24"/>
              </w:rPr>
              <w:t>tiplendirmesi</w:t>
            </w:r>
            <w:proofErr w:type="spellEnd"/>
          </w:p>
        </w:tc>
        <w:tc>
          <w:tcPr>
            <w:tcW w:w="4531" w:type="dxa"/>
          </w:tcPr>
          <w:p w:rsidR="005F31D7" w:rsidRPr="00781BCF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CF">
              <w:rPr>
                <w:rFonts w:ascii="Times New Roman" w:hAnsi="Times New Roman" w:cs="Times New Roman"/>
                <w:sz w:val="24"/>
                <w:szCs w:val="24"/>
              </w:rPr>
              <w:t xml:space="preserve">Olası kök hücre nakil </w:t>
            </w:r>
            <w:proofErr w:type="spellStart"/>
            <w:r w:rsidRPr="00781BCF">
              <w:rPr>
                <w:rFonts w:ascii="Times New Roman" w:hAnsi="Times New Roman" w:cs="Times New Roman"/>
                <w:sz w:val="24"/>
                <w:szCs w:val="24"/>
              </w:rPr>
              <w:t>endikasyonu</w:t>
            </w:r>
            <w:proofErr w:type="spellEnd"/>
          </w:p>
        </w:tc>
      </w:tr>
      <w:tr w:rsidR="00C868C7" w:rsidTr="00C868C7">
        <w:tc>
          <w:tcPr>
            <w:tcW w:w="4531" w:type="dxa"/>
          </w:tcPr>
          <w:p w:rsidR="00C868C7" w:rsidRDefault="004814F9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Akciğer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grafisi</w:t>
            </w:r>
            <w:proofErr w:type="spellEnd"/>
            <w:r w:rsidR="005F3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718C">
              <w:rPr>
                <w:rFonts w:ascii="Times New Roman" w:hAnsi="Times New Roman" w:cs="Times New Roman"/>
                <w:sz w:val="24"/>
                <w:szCs w:val="24"/>
              </w:rPr>
              <w:t xml:space="preserve">batın USG, </w:t>
            </w:r>
            <w:r w:rsidR="005F31D7">
              <w:rPr>
                <w:rFonts w:ascii="Times New Roman" w:hAnsi="Times New Roman" w:cs="Times New Roman"/>
                <w:sz w:val="24"/>
                <w:szCs w:val="24"/>
              </w:rPr>
              <w:t>EKG, ekokardiyografi</w:t>
            </w:r>
            <w:r w:rsidR="0026718C" w:rsidRPr="002671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31" w:type="dxa"/>
          </w:tcPr>
          <w:p w:rsidR="00C868C7" w:rsidRDefault="005F31D7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Tanı, </w:t>
            </w:r>
            <w:r w:rsidR="00A02AA7">
              <w:rPr>
                <w:rFonts w:ascii="Times New Roman" w:hAnsi="Times New Roman" w:cs="Times New Roman"/>
                <w:sz w:val="24"/>
                <w:szCs w:val="24"/>
              </w:rPr>
              <w:t xml:space="preserve">tedavi,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 etkiler</w:t>
            </w:r>
          </w:p>
        </w:tc>
      </w:tr>
      <w:tr w:rsidR="004A477E" w:rsidTr="00C868C7">
        <w:tc>
          <w:tcPr>
            <w:tcW w:w="4531" w:type="dxa"/>
          </w:tcPr>
          <w:p w:rsidR="004A477E" w:rsidRDefault="004A477E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lastRenderedPageBreak/>
              <w:t>BT/</w:t>
            </w:r>
            <w:r w:rsidRPr="004A477E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MRG </w:t>
            </w:r>
            <w:proofErr w:type="spellStart"/>
            <w:r w:rsidRPr="004A477E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toraks</w:t>
            </w:r>
            <w:proofErr w:type="spellEnd"/>
            <w:r w:rsidRPr="004A477E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4A477E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ve </w:t>
            </w:r>
            <w:r w:rsidRPr="004A477E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batın</w:t>
            </w:r>
            <w:r w:rsidR="008F603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ve tutulu bölgelere yönelik</w:t>
            </w:r>
            <w:r w:rsidRPr="004A477E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: Organ tutulumu, </w:t>
            </w:r>
            <w:r w:rsidRPr="004A477E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yer </w:t>
            </w:r>
            <w:r w:rsidRPr="004A47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kaplayıcı </w:t>
            </w:r>
            <w:r w:rsidRPr="004A477E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oluşum (kuşku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halinde)</w:t>
            </w:r>
          </w:p>
        </w:tc>
        <w:tc>
          <w:tcPr>
            <w:tcW w:w="4531" w:type="dxa"/>
          </w:tcPr>
          <w:p w:rsidR="004A477E" w:rsidRDefault="004A477E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  <w:r w:rsidR="00A02AA7">
              <w:rPr>
                <w:rFonts w:ascii="Times New Roman" w:hAnsi="Times New Roman" w:cs="Times New Roman"/>
                <w:sz w:val="24"/>
                <w:szCs w:val="24"/>
              </w:rPr>
              <w:t>, tedavi</w:t>
            </w:r>
          </w:p>
        </w:tc>
      </w:tr>
    </w:tbl>
    <w:p w:rsidR="00C868C7" w:rsidRPr="00BC5274" w:rsidRDefault="00C868C7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AF" w:rsidRDefault="00FB0B78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838CC">
        <w:rPr>
          <w:rFonts w:ascii="Times New Roman" w:hAnsi="Times New Roman" w:cs="Times New Roman"/>
          <w:sz w:val="24"/>
          <w:szCs w:val="24"/>
        </w:rPr>
        <w:t xml:space="preserve">Kemik iliği örneği alınamadıysa </w:t>
      </w:r>
      <w:r w:rsidR="00257C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7C16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="00257C16">
        <w:rPr>
          <w:rFonts w:ascii="Times New Roman" w:hAnsi="Times New Roman" w:cs="Times New Roman"/>
          <w:sz w:val="24"/>
          <w:szCs w:val="24"/>
        </w:rPr>
        <w:t xml:space="preserve"> tap) veya </w:t>
      </w:r>
      <w:proofErr w:type="spellStart"/>
      <w:r w:rsidR="00257C16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="00257C16">
        <w:rPr>
          <w:rFonts w:ascii="Times New Roman" w:hAnsi="Times New Roman" w:cs="Times New Roman"/>
          <w:sz w:val="24"/>
          <w:szCs w:val="24"/>
        </w:rPr>
        <w:t xml:space="preserve"> kan veya </w:t>
      </w:r>
      <w:r w:rsidR="00B838CC">
        <w:rPr>
          <w:rFonts w:ascii="Times New Roman" w:hAnsi="Times New Roman" w:cs="Times New Roman"/>
          <w:sz w:val="24"/>
          <w:szCs w:val="24"/>
        </w:rPr>
        <w:t xml:space="preserve">kemik iliğinde </w:t>
      </w:r>
      <w:proofErr w:type="spellStart"/>
      <w:r w:rsidR="00B838CC">
        <w:rPr>
          <w:rFonts w:ascii="Times New Roman" w:hAnsi="Times New Roman" w:cs="Times New Roman"/>
          <w:sz w:val="24"/>
          <w:szCs w:val="24"/>
        </w:rPr>
        <w:t>displazi</w:t>
      </w:r>
      <w:proofErr w:type="spellEnd"/>
      <w:r w:rsidR="00B838CC">
        <w:rPr>
          <w:rFonts w:ascii="Times New Roman" w:hAnsi="Times New Roman" w:cs="Times New Roman"/>
          <w:sz w:val="24"/>
          <w:szCs w:val="24"/>
        </w:rPr>
        <w:t xml:space="preserve"> bulguları varsa ve ayırıcı tanıda MDS yer alıyorsa.</w:t>
      </w:r>
    </w:p>
    <w:p w:rsidR="00CB4301" w:rsidRPr="00AC15DB" w:rsidRDefault="00FB0B78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CA2">
        <w:rPr>
          <w:rFonts w:ascii="Times New Roman" w:hAnsi="Times New Roman" w:cs="Times New Roman"/>
          <w:sz w:val="24"/>
          <w:szCs w:val="24"/>
        </w:rPr>
        <w:t xml:space="preserve">MSS tutulumunu düşündüren klinik bulguları olan olgularda kafaiçi kanama, </w:t>
      </w:r>
      <w:proofErr w:type="spellStart"/>
      <w:r w:rsidR="008C5CA2">
        <w:rPr>
          <w:rFonts w:ascii="Times New Roman" w:hAnsi="Times New Roman" w:cs="Times New Roman"/>
          <w:sz w:val="24"/>
          <w:szCs w:val="24"/>
        </w:rPr>
        <w:t>leptomeningeal</w:t>
      </w:r>
      <w:proofErr w:type="spellEnd"/>
      <w:r w:rsidR="008C5CA2">
        <w:rPr>
          <w:rFonts w:ascii="Times New Roman" w:hAnsi="Times New Roman" w:cs="Times New Roman"/>
          <w:sz w:val="24"/>
          <w:szCs w:val="24"/>
        </w:rPr>
        <w:t xml:space="preserve"> hastalık ve kitle lezyonu açısından </w:t>
      </w:r>
      <w:proofErr w:type="spellStart"/>
      <w:r w:rsidR="008C5CA2"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 w:rsidR="008C5CA2">
        <w:rPr>
          <w:rFonts w:ascii="Times New Roman" w:hAnsi="Times New Roman" w:cs="Times New Roman"/>
          <w:sz w:val="24"/>
          <w:szCs w:val="24"/>
        </w:rPr>
        <w:t xml:space="preserve"> görüntüleme yapılmalıdır. </w:t>
      </w:r>
      <w:r w:rsidR="008C5CA2" w:rsidRPr="00781BCF"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spellStart"/>
      <w:r w:rsidR="008C5CA2" w:rsidRPr="00781BCF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8C5CA2" w:rsidRPr="00781BCF">
        <w:rPr>
          <w:rFonts w:ascii="Times New Roman" w:hAnsi="Times New Roman" w:cs="Times New Roman"/>
          <w:sz w:val="24"/>
          <w:szCs w:val="24"/>
        </w:rPr>
        <w:t xml:space="preserve"> sayısı veya </w:t>
      </w:r>
      <w:r w:rsidR="00116F79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="00116F79">
        <w:rPr>
          <w:rFonts w:ascii="Times New Roman" w:hAnsi="Times New Roman" w:cs="Times New Roman"/>
          <w:sz w:val="24"/>
          <w:szCs w:val="24"/>
        </w:rPr>
        <w:t>promiyelositik</w:t>
      </w:r>
      <w:proofErr w:type="spellEnd"/>
      <w:r w:rsidR="00116F79">
        <w:rPr>
          <w:rFonts w:ascii="Times New Roman" w:hAnsi="Times New Roman" w:cs="Times New Roman"/>
          <w:sz w:val="24"/>
          <w:szCs w:val="24"/>
        </w:rPr>
        <w:t xml:space="preserve"> lösemide</w:t>
      </w:r>
      <w:r w:rsidR="000E22D4">
        <w:rPr>
          <w:rFonts w:ascii="Times New Roman" w:hAnsi="Times New Roman" w:cs="Times New Roman"/>
          <w:sz w:val="24"/>
          <w:szCs w:val="24"/>
        </w:rPr>
        <w:t xml:space="preserve"> </w:t>
      </w:r>
      <w:r w:rsidR="00116F79">
        <w:rPr>
          <w:rFonts w:ascii="Times New Roman" w:hAnsi="Times New Roman" w:cs="Times New Roman"/>
          <w:sz w:val="24"/>
          <w:szCs w:val="24"/>
        </w:rPr>
        <w:t>(APL)</w:t>
      </w:r>
      <w:r w:rsidR="008C5CA2" w:rsidRPr="00781BCF">
        <w:rPr>
          <w:rFonts w:ascii="Times New Roman" w:hAnsi="Times New Roman" w:cs="Times New Roman"/>
          <w:sz w:val="24"/>
          <w:szCs w:val="24"/>
        </w:rPr>
        <w:t xml:space="preserve"> </w:t>
      </w:r>
      <w:r w:rsidR="000E22D4">
        <w:rPr>
          <w:rFonts w:ascii="Times New Roman" w:hAnsi="Times New Roman" w:cs="Times New Roman"/>
          <w:sz w:val="24"/>
          <w:szCs w:val="24"/>
        </w:rPr>
        <w:t xml:space="preserve">LP </w:t>
      </w:r>
      <w:r w:rsidR="008C5CA2" w:rsidRPr="00781BCF">
        <w:rPr>
          <w:rFonts w:ascii="Times New Roman" w:hAnsi="Times New Roman" w:cs="Times New Roman"/>
          <w:sz w:val="24"/>
          <w:szCs w:val="24"/>
        </w:rPr>
        <w:t>geciktirilebilir.</w:t>
      </w:r>
    </w:p>
    <w:p w:rsidR="00CB4301" w:rsidRDefault="00AC15DB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11FA1">
        <w:rPr>
          <w:rFonts w:ascii="Times New Roman" w:hAnsi="Times New Roman" w:cs="Times New Roman"/>
          <w:sz w:val="24"/>
          <w:szCs w:val="24"/>
        </w:rPr>
        <w:t>I</w:t>
      </w:r>
      <w:r w:rsidR="00A11FA1" w:rsidRPr="00A11FA1">
        <w:rPr>
          <w:rFonts w:ascii="Times New Roman" w:hAnsi="Times New Roman" w:cs="Times New Roman"/>
          <w:sz w:val="24"/>
          <w:szCs w:val="24"/>
        </w:rPr>
        <w:t xml:space="preserve">rk, etnik köken, aile öyküsü, </w:t>
      </w:r>
      <w:proofErr w:type="spellStart"/>
      <w:r w:rsidR="00A11FA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A11FA1">
        <w:rPr>
          <w:rFonts w:ascii="Times New Roman" w:hAnsi="Times New Roman" w:cs="Times New Roman"/>
          <w:sz w:val="24"/>
          <w:szCs w:val="24"/>
        </w:rPr>
        <w:t xml:space="preserve"> madde </w:t>
      </w:r>
      <w:proofErr w:type="spellStart"/>
      <w:r w:rsidR="00A11FA1">
        <w:rPr>
          <w:rFonts w:ascii="Times New Roman" w:hAnsi="Times New Roman" w:cs="Times New Roman"/>
          <w:sz w:val="24"/>
          <w:szCs w:val="24"/>
        </w:rPr>
        <w:t>maruziyeti</w:t>
      </w:r>
      <w:proofErr w:type="spellEnd"/>
      <w:r w:rsidR="00A11FA1">
        <w:rPr>
          <w:rFonts w:ascii="Times New Roman" w:hAnsi="Times New Roman" w:cs="Times New Roman"/>
          <w:sz w:val="24"/>
          <w:szCs w:val="24"/>
        </w:rPr>
        <w:t xml:space="preserve">, geçirilmiş </w:t>
      </w:r>
      <w:proofErr w:type="spellStart"/>
      <w:r w:rsidR="00A11FA1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="00A11FA1">
        <w:rPr>
          <w:rFonts w:ascii="Times New Roman" w:hAnsi="Times New Roman" w:cs="Times New Roman"/>
          <w:sz w:val="24"/>
          <w:szCs w:val="24"/>
        </w:rPr>
        <w:t xml:space="preserve">, önceki </w:t>
      </w:r>
      <w:proofErr w:type="spellStart"/>
      <w:r w:rsidR="00A11FA1">
        <w:rPr>
          <w:rFonts w:ascii="Times New Roman" w:hAnsi="Times New Roman" w:cs="Times New Roman"/>
          <w:sz w:val="24"/>
          <w:szCs w:val="24"/>
        </w:rPr>
        <w:t>malignitenin</w:t>
      </w:r>
      <w:proofErr w:type="spellEnd"/>
      <w:r w:rsidR="00A11FA1">
        <w:rPr>
          <w:rFonts w:ascii="Times New Roman" w:hAnsi="Times New Roman" w:cs="Times New Roman"/>
          <w:sz w:val="24"/>
          <w:szCs w:val="24"/>
        </w:rPr>
        <w:t xml:space="preserve"> için verilen tedavi, </w:t>
      </w:r>
      <w:r w:rsidR="00525D8B">
        <w:rPr>
          <w:rFonts w:ascii="Times New Roman" w:hAnsi="Times New Roman" w:cs="Times New Roman"/>
          <w:sz w:val="24"/>
          <w:szCs w:val="24"/>
        </w:rPr>
        <w:t>sigara içimi.</w:t>
      </w:r>
    </w:p>
    <w:p w:rsidR="00525D8B" w:rsidRPr="00493060" w:rsidRDefault="00525D8B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93060">
        <w:rPr>
          <w:rFonts w:ascii="Times New Roman" w:hAnsi="Times New Roman" w:cs="Times New Roman"/>
          <w:sz w:val="24"/>
          <w:szCs w:val="24"/>
        </w:rPr>
        <w:t xml:space="preserve">Na, K,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, AST, ALT, LDH,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 ve ürik asit; gerekiyorsa ek testler.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 zamanı, INR ve aktive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parsiyel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060">
        <w:rPr>
          <w:rFonts w:ascii="Times New Roman" w:hAnsi="Times New Roman" w:cs="Times New Roman"/>
          <w:sz w:val="24"/>
          <w:szCs w:val="24"/>
        </w:rPr>
        <w:t>tromboplastin</w:t>
      </w:r>
      <w:proofErr w:type="spellEnd"/>
      <w:r w:rsidR="00493060">
        <w:rPr>
          <w:rFonts w:ascii="Times New Roman" w:hAnsi="Times New Roman" w:cs="Times New Roman"/>
          <w:sz w:val="24"/>
          <w:szCs w:val="24"/>
        </w:rPr>
        <w:t xml:space="preserve"> zamanı.</w:t>
      </w:r>
    </w:p>
    <w:p w:rsidR="00CB4301" w:rsidRDefault="00E6310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Gebe kalma potansiyeli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kızlarda</w:t>
      </w:r>
    </w:p>
    <w:p w:rsidR="00E6310A" w:rsidRPr="00E6310A" w:rsidRDefault="00E6310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0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Ek testler istenebilir (</w:t>
      </w:r>
      <w:proofErr w:type="spellStart"/>
      <w:r>
        <w:rPr>
          <w:rFonts w:ascii="Times New Roman" w:hAnsi="Times New Roman" w:cs="Times New Roman"/>
          <w:sz w:val="24"/>
          <w:szCs w:val="24"/>
        </w:rPr>
        <w:t>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Parvovirus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B19)</w:t>
      </w:r>
    </w:p>
    <w:p w:rsidR="004A477E" w:rsidRDefault="0026718C" w:rsidP="004A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7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A477E" w:rsidRPr="0026718C">
        <w:rPr>
          <w:rFonts w:ascii="Times New Roman" w:hAnsi="Times New Roman" w:cs="Times New Roman"/>
          <w:sz w:val="24"/>
          <w:szCs w:val="24"/>
        </w:rPr>
        <w:t xml:space="preserve">Kuşku halinde </w:t>
      </w:r>
      <w:proofErr w:type="spellStart"/>
      <w:r w:rsidR="004A477E" w:rsidRPr="0026718C">
        <w:rPr>
          <w:rFonts w:ascii="Times New Roman" w:hAnsi="Times New Roman" w:cs="Times New Roman"/>
          <w:sz w:val="24"/>
          <w:szCs w:val="24"/>
        </w:rPr>
        <w:t>skrotal</w:t>
      </w:r>
      <w:proofErr w:type="spellEnd"/>
      <w:r w:rsidR="004A477E" w:rsidRPr="0026718C">
        <w:rPr>
          <w:rFonts w:ascii="Times New Roman" w:hAnsi="Times New Roman" w:cs="Times New Roman"/>
          <w:sz w:val="24"/>
          <w:szCs w:val="24"/>
        </w:rPr>
        <w:t xml:space="preserve"> USG istenmelidir.</w:t>
      </w:r>
    </w:p>
    <w:p w:rsidR="004A477E" w:rsidRDefault="004A477E" w:rsidP="004A4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3E" w:rsidRPr="000E7CBE" w:rsidRDefault="007B003E" w:rsidP="007B00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AD">
        <w:rPr>
          <w:rFonts w:ascii="Times New Roman" w:hAnsi="Times New Roman" w:cs="Times New Roman"/>
          <w:b/>
          <w:sz w:val="24"/>
          <w:szCs w:val="24"/>
        </w:rPr>
        <w:t>MSS Tutulumu</w:t>
      </w:r>
      <w:r w:rsidR="00236EAD">
        <w:rPr>
          <w:rFonts w:ascii="Times New Roman" w:hAnsi="Times New Roman" w:cs="Times New Roman"/>
          <w:b/>
          <w:sz w:val="24"/>
          <w:szCs w:val="24"/>
        </w:rPr>
        <w:t xml:space="preserve"> Tanımı </w:t>
      </w:r>
    </w:p>
    <w:p w:rsidR="00236EAD" w:rsidRDefault="007B003E" w:rsidP="0023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74">
        <w:rPr>
          <w:rFonts w:ascii="Times New Roman" w:hAnsi="Times New Roman" w:cs="Times New Roman"/>
          <w:sz w:val="24"/>
          <w:szCs w:val="24"/>
        </w:rPr>
        <w:t xml:space="preserve">Olgular </w:t>
      </w:r>
      <w:r>
        <w:rPr>
          <w:rFonts w:ascii="Times New Roman" w:hAnsi="Times New Roman" w:cs="Times New Roman"/>
          <w:sz w:val="24"/>
          <w:szCs w:val="24"/>
        </w:rPr>
        <w:t xml:space="preserve">tanıda </w:t>
      </w:r>
      <w:r w:rsidRPr="00BC5274">
        <w:rPr>
          <w:rFonts w:ascii="Times New Roman" w:hAnsi="Times New Roman" w:cs="Times New Roman"/>
          <w:sz w:val="24"/>
          <w:szCs w:val="24"/>
        </w:rPr>
        <w:t>santral sinir sistemi tutulumu açısından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ponksiyon ile</w:t>
      </w:r>
      <w:r w:rsidRPr="00BC5274">
        <w:rPr>
          <w:rFonts w:ascii="Times New Roman" w:hAnsi="Times New Roman" w:cs="Times New Roman"/>
          <w:sz w:val="24"/>
          <w:szCs w:val="24"/>
        </w:rPr>
        <w:t xml:space="preserve"> değerlendirilmelidir.</w:t>
      </w:r>
      <w:r>
        <w:rPr>
          <w:rFonts w:ascii="Times New Roman" w:hAnsi="Times New Roman" w:cs="Times New Roman"/>
          <w:sz w:val="24"/>
          <w:szCs w:val="24"/>
        </w:rPr>
        <w:t xml:space="preserve"> Ancak kanama eğilimi varsa (ağır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koagülopati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6EAD">
        <w:rPr>
          <w:rFonts w:ascii="Times New Roman" w:hAnsi="Times New Roman" w:cs="Times New Roman"/>
          <w:sz w:val="24"/>
          <w:szCs w:val="24"/>
        </w:rPr>
        <w:t>AP</w:t>
      </w:r>
      <w:r w:rsidR="00236EAD">
        <w:rPr>
          <w:rFonts w:ascii="Times New Roman" w:hAnsi="Times New Roman" w:cs="Times New Roman"/>
          <w:sz w:val="24"/>
          <w:szCs w:val="24"/>
        </w:rPr>
        <w:t>L’li</w:t>
      </w:r>
      <w:proofErr w:type="spellEnd"/>
      <w:r w:rsidR="0023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olgular</w:t>
      </w:r>
      <w:r w:rsidR="00236E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ponksiyon kanama riski ortadan kalkana d</w:t>
      </w:r>
      <w:r w:rsidR="00236EAD">
        <w:rPr>
          <w:color w:val="231F20"/>
          <w:sz w:val="20"/>
          <w:szCs w:val="20"/>
        </w:rPr>
        <w:t>ek</w:t>
      </w:r>
      <w:r w:rsidR="00236EAD">
        <w:rPr>
          <w:rFonts w:ascii="Times New Roman" w:hAnsi="Times New Roman" w:cs="Times New Roman"/>
          <w:sz w:val="24"/>
          <w:szCs w:val="24"/>
        </w:rPr>
        <w:t xml:space="preserve"> ertelenmelidir.</w:t>
      </w:r>
    </w:p>
    <w:p w:rsidR="00236EAD" w:rsidRPr="006E074E" w:rsidRDefault="00236EAD" w:rsidP="00236EAD">
      <w:pPr>
        <w:pStyle w:val="ListeParagraf"/>
        <w:widowControl w:val="0"/>
        <w:numPr>
          <w:ilvl w:val="3"/>
          <w:numId w:val="3"/>
        </w:numPr>
        <w:tabs>
          <w:tab w:val="left" w:pos="818"/>
        </w:tabs>
        <w:autoSpaceDE w:val="0"/>
        <w:autoSpaceDN w:val="0"/>
        <w:spacing w:before="21" w:after="0" w:line="292" w:lineRule="auto"/>
        <w:ind w:right="129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Blastlarla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retina 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infiltrasyonunun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gösterilmesi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>(göz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æ¯Â'E8ÔˇøàÎ" w:hAnsi="æ¯Â'E8ÔˇøàÎ" w:cs="æ¯Â'E8ÔˇøàÎ"/>
          <w:sz w:val="17"/>
          <w:szCs w:val="17"/>
        </w:rPr>
        <w:t xml:space="preserve">doktoru </w:t>
      </w:r>
      <w:r w:rsidRPr="006E074E">
        <w:rPr>
          <w:rFonts w:ascii="Times New Roman" w:hAnsi="Times New Roman" w:cs="Times New Roman"/>
          <w:color w:val="231F20"/>
          <w:spacing w:val="-5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>bulgusu</w:t>
      </w:r>
      <w:proofErr w:type="gramEnd"/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>)</w:t>
      </w:r>
    </w:p>
    <w:p w:rsidR="00116F79" w:rsidRPr="006E074E" w:rsidRDefault="00116F79" w:rsidP="00116F79">
      <w:pPr>
        <w:pStyle w:val="ListeParagraf"/>
        <w:widowControl w:val="0"/>
        <w:numPr>
          <w:ilvl w:val="3"/>
          <w:numId w:val="3"/>
        </w:numPr>
        <w:tabs>
          <w:tab w:val="left" w:pos="818"/>
        </w:tabs>
        <w:autoSpaceDE w:val="0"/>
        <w:autoSpaceDN w:val="0"/>
        <w:spacing w:before="44" w:after="0" w:line="292" w:lineRule="auto"/>
        <w:ind w:right="129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Hücre  sayısının</w:t>
      </w:r>
      <w:proofErr w:type="gram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 &gt;5/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μL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 </w:t>
      </w:r>
      <w:r w:rsidRPr="006E074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ve  </w:t>
      </w:r>
      <w:proofErr w:type="spellStart"/>
      <w:r w:rsidR="00236EAD">
        <w:rPr>
          <w:rFonts w:ascii="Times New Roman" w:hAnsi="Times New Roman" w:cs="Times New Roman"/>
          <w:color w:val="231F20"/>
          <w:spacing w:val="2"/>
          <w:sz w:val="20"/>
          <w:szCs w:val="20"/>
        </w:rPr>
        <w:t>sito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santrifüj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 preparatında </w:t>
      </w:r>
      <w:r>
        <w:rPr>
          <w:rFonts w:ascii="ßÀE'E8ÔˇøàÎ" w:hAnsi="ßÀE'E8ÔˇøàÎ" w:cs="ßÀE'E8ÔˇøàÎ"/>
          <w:sz w:val="17"/>
          <w:szCs w:val="17"/>
        </w:rPr>
        <w:t>ağırlıklı</w:t>
      </w:r>
      <w:r w:rsidRPr="006E074E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lösemi hücrelerinin olması. </w:t>
      </w:r>
      <w:r w:rsidRPr="006E074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Bu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tanımlama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için 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BOS’ta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kan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>olmamalıdır.</w:t>
      </w:r>
    </w:p>
    <w:p w:rsidR="00116F79" w:rsidRPr="006E074E" w:rsidRDefault="00116F79" w:rsidP="00116F79">
      <w:pPr>
        <w:pStyle w:val="ListeParagraf"/>
        <w:widowControl w:val="0"/>
        <w:numPr>
          <w:ilvl w:val="3"/>
          <w:numId w:val="3"/>
        </w:numPr>
        <w:tabs>
          <w:tab w:val="left" w:pos="818"/>
        </w:tabs>
        <w:autoSpaceDE w:val="0"/>
        <w:autoSpaceDN w:val="0"/>
        <w:spacing w:before="20" w:after="0" w:line="292" w:lineRule="auto"/>
        <w:ind w:right="1296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074E">
        <w:rPr>
          <w:rFonts w:ascii="Times New Roman" w:hAnsi="Times New Roman" w:cs="Times New Roman"/>
          <w:color w:val="231F20"/>
          <w:sz w:val="20"/>
          <w:szCs w:val="20"/>
        </w:rPr>
        <w:t xml:space="preserve">Kan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bulaşması kuşkusu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olan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durumda </w:t>
      </w:r>
      <w:proofErr w:type="gramStart"/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MSS 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pozitif</w:t>
      </w:r>
      <w:proofErr w:type="gram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+ı'E8ÔˇøàÎ" w:hAnsi="+ı'E8ÔˇøàÎ" w:cs="+ı'E8ÔˇøàÎ"/>
          <w:sz w:val="17"/>
          <w:szCs w:val="17"/>
        </w:rPr>
        <w:t>sayılan</w:t>
      </w:r>
      <w:r w:rsidR="00236EAD">
        <w:rPr>
          <w:rFonts w:ascii="+ı'E8ÔˇøàÎ" w:hAnsi="+ı'E8ÔˇøàÎ" w:cs="+ı'E8ÔˇøàÎ"/>
          <w:sz w:val="17"/>
          <w:szCs w:val="17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-5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durumlar: Hücre sayısının &gt;5/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μL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ve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santrifüj </w:t>
      </w:r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preparatında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ağırlıklı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lösemi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hücrelerinin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olması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2"/>
          <w:sz w:val="20"/>
          <w:szCs w:val="20"/>
        </w:rPr>
        <w:t>ve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santrifüj</w:t>
      </w:r>
      <w:r w:rsidRPr="006E074E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preparatında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eritrosit/lökosit sayısı oranının &lt;100:1 olması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veya </w:t>
      </w:r>
      <w:proofErr w:type="spellStart"/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>BOS’ta</w:t>
      </w:r>
      <w:proofErr w:type="spellEnd"/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lösemi 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hüceleri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oranının kandakinden fazla</w:t>
      </w:r>
      <w:r w:rsidRPr="006E074E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5"/>
          <w:sz w:val="20"/>
          <w:szCs w:val="20"/>
        </w:rPr>
        <w:t>olması.</w:t>
      </w:r>
    </w:p>
    <w:p w:rsidR="00116F79" w:rsidRPr="006E074E" w:rsidRDefault="00116F79" w:rsidP="00116F79">
      <w:pPr>
        <w:pStyle w:val="ListeParagraf"/>
        <w:widowControl w:val="0"/>
        <w:numPr>
          <w:ilvl w:val="3"/>
          <w:numId w:val="3"/>
        </w:numPr>
        <w:tabs>
          <w:tab w:val="left" w:pos="818"/>
        </w:tabs>
        <w:autoSpaceDE w:val="0"/>
        <w:autoSpaceDN w:val="0"/>
        <w:spacing w:before="19" w:after="0" w:line="292" w:lineRule="auto"/>
        <w:ind w:right="1296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MRG/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BT’de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beyinde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veya </w:t>
      </w: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meninkslerde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yer </w:t>
      </w:r>
      <w:r w:rsidRPr="006E074E">
        <w:rPr>
          <w:rFonts w:ascii="Times New Roman" w:hAnsi="Times New Roman" w:cs="Times New Roman"/>
          <w:color w:val="231F20"/>
          <w:sz w:val="20"/>
          <w:szCs w:val="20"/>
        </w:rPr>
        <w:t xml:space="preserve">kaplayan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>oluşum</w:t>
      </w:r>
      <w:r w:rsidR="00236EAD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varlığı.</w:t>
      </w:r>
    </w:p>
    <w:p w:rsidR="00116F79" w:rsidRPr="006E074E" w:rsidRDefault="00116F79" w:rsidP="00116F79">
      <w:pPr>
        <w:pStyle w:val="ListeParagraf"/>
        <w:widowControl w:val="0"/>
        <w:numPr>
          <w:ilvl w:val="3"/>
          <w:numId w:val="3"/>
        </w:numPr>
        <w:tabs>
          <w:tab w:val="left" w:pos="818"/>
        </w:tabs>
        <w:autoSpaceDE w:val="0"/>
        <w:autoSpaceDN w:val="0"/>
        <w:spacing w:before="21" w:after="0" w:line="292" w:lineRule="auto"/>
        <w:ind w:right="129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Kraniyal</w:t>
      </w:r>
      <w:proofErr w:type="spell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sinir felci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başka bir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nedene bağlanamıyorsa </w:t>
      </w:r>
      <w:proofErr w:type="gramStart"/>
      <w:r>
        <w:rPr>
          <w:rFonts w:ascii="2ÙÂ'E8ÔˇøàÎ" w:hAnsi="2ÙÂ'E8ÔˇøàÎ" w:cs="2ÙÂ'E8ÔˇøàÎ"/>
          <w:sz w:val="17"/>
          <w:szCs w:val="17"/>
        </w:rPr>
        <w:t xml:space="preserve">MSS </w:t>
      </w:r>
      <w:r w:rsidRPr="006E074E">
        <w:rPr>
          <w:rFonts w:ascii="Times New Roman" w:hAnsi="Times New Roman" w:cs="Times New Roman"/>
          <w:color w:val="231F20"/>
          <w:spacing w:val="-50"/>
          <w:sz w:val="20"/>
          <w:szCs w:val="20"/>
        </w:rPr>
        <w:t xml:space="preserve"> </w:t>
      </w:r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>tutulumu</w:t>
      </w:r>
      <w:proofErr w:type="gramEnd"/>
      <w:r w:rsidRPr="006E074E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olarak </w:t>
      </w:r>
      <w:r w:rsidRPr="006E074E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kabul </w:t>
      </w:r>
      <w:r w:rsidRPr="006E074E">
        <w:rPr>
          <w:rFonts w:ascii="Times New Roman" w:hAnsi="Times New Roman" w:cs="Times New Roman"/>
          <w:color w:val="231F20"/>
          <w:spacing w:val="2"/>
          <w:sz w:val="20"/>
          <w:szCs w:val="20"/>
        </w:rPr>
        <w:t>edilir.</w:t>
      </w:r>
    </w:p>
    <w:p w:rsidR="0026718C" w:rsidRDefault="0026718C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2F6" w:rsidRDefault="00F072F6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2F6" w:rsidRDefault="00F072F6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2B" w:rsidRPr="001013A5" w:rsidRDefault="0026718C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A5">
        <w:rPr>
          <w:rFonts w:ascii="Times New Roman" w:hAnsi="Times New Roman" w:cs="Times New Roman"/>
          <w:b/>
          <w:sz w:val="24"/>
          <w:szCs w:val="24"/>
        </w:rPr>
        <w:t xml:space="preserve">Kemik İliği </w:t>
      </w:r>
      <w:r w:rsidR="001013A5" w:rsidRPr="001013A5">
        <w:rPr>
          <w:rFonts w:ascii="Times New Roman" w:hAnsi="Times New Roman" w:cs="Times New Roman"/>
          <w:b/>
          <w:sz w:val="24"/>
          <w:szCs w:val="24"/>
        </w:rPr>
        <w:t>İncelemeleri</w:t>
      </w:r>
    </w:p>
    <w:p w:rsidR="00453F2B" w:rsidRDefault="00236EAD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AML t</w:t>
      </w:r>
      <w:r w:rsidR="00257C16">
        <w:rPr>
          <w:rFonts w:ascii="Times New Roman" w:hAnsi="Times New Roman" w:cs="Times New Roman"/>
          <w:sz w:val="24"/>
          <w:szCs w:val="24"/>
        </w:rPr>
        <w:t>anı</w:t>
      </w:r>
      <w:r>
        <w:rPr>
          <w:rFonts w:ascii="Times New Roman" w:hAnsi="Times New Roman" w:cs="Times New Roman"/>
          <w:sz w:val="24"/>
          <w:szCs w:val="24"/>
        </w:rPr>
        <w:t>sında</w:t>
      </w:r>
      <w:r w:rsidR="00257C16">
        <w:rPr>
          <w:rFonts w:ascii="Times New Roman" w:hAnsi="Times New Roman" w:cs="Times New Roman"/>
          <w:sz w:val="24"/>
          <w:szCs w:val="24"/>
        </w:rPr>
        <w:t xml:space="preserve"> morfoloji, </w:t>
      </w:r>
      <w:proofErr w:type="spellStart"/>
      <w:r w:rsidR="00257C16">
        <w:rPr>
          <w:rFonts w:ascii="Times New Roman" w:hAnsi="Times New Roman" w:cs="Times New Roman"/>
          <w:sz w:val="24"/>
          <w:szCs w:val="24"/>
        </w:rPr>
        <w:t>sitokimyasal</w:t>
      </w:r>
      <w:proofErr w:type="spellEnd"/>
      <w:r w:rsidR="00257C16">
        <w:rPr>
          <w:rFonts w:ascii="Times New Roman" w:hAnsi="Times New Roman" w:cs="Times New Roman"/>
          <w:sz w:val="24"/>
          <w:szCs w:val="24"/>
        </w:rPr>
        <w:t xml:space="preserve"> inceleme, </w:t>
      </w:r>
      <w:proofErr w:type="spellStart"/>
      <w:r w:rsidR="00257C16">
        <w:rPr>
          <w:rFonts w:ascii="Times New Roman" w:hAnsi="Times New Roman" w:cs="Times New Roman"/>
          <w:sz w:val="24"/>
          <w:szCs w:val="24"/>
        </w:rPr>
        <w:t>immunfenotipleme</w:t>
      </w:r>
      <w:proofErr w:type="spellEnd"/>
      <w:r w:rsidR="0025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16">
        <w:rPr>
          <w:rFonts w:ascii="Times New Roman" w:hAnsi="Times New Roman" w:cs="Times New Roman"/>
          <w:sz w:val="24"/>
          <w:szCs w:val="24"/>
        </w:rPr>
        <w:t>sitogenetik</w:t>
      </w:r>
      <w:proofErr w:type="spellEnd"/>
      <w:r w:rsidR="00257C16">
        <w:rPr>
          <w:rFonts w:ascii="Times New Roman" w:hAnsi="Times New Roman" w:cs="Times New Roman"/>
          <w:sz w:val="24"/>
          <w:szCs w:val="24"/>
        </w:rPr>
        <w:t xml:space="preserve"> ve moleküler incelemeler kemik iliği örneğinden yapılmalıdır.</w:t>
      </w:r>
    </w:p>
    <w:p w:rsidR="001013A5" w:rsidRPr="00426795" w:rsidRDefault="001013A5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0E" w:rsidRDefault="00257C16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16">
        <w:rPr>
          <w:rFonts w:ascii="Times New Roman" w:hAnsi="Times New Roman" w:cs="Times New Roman"/>
          <w:b/>
          <w:sz w:val="24"/>
          <w:szCs w:val="24"/>
        </w:rPr>
        <w:t>Morfoloji:</w:t>
      </w:r>
    </w:p>
    <w:p w:rsidR="00D043F9" w:rsidRPr="00257C16" w:rsidRDefault="00257C1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C16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Pr="00257C16">
        <w:rPr>
          <w:rFonts w:ascii="Times New Roman" w:hAnsi="Times New Roman" w:cs="Times New Roman"/>
          <w:sz w:val="24"/>
          <w:szCs w:val="24"/>
        </w:rPr>
        <w:t xml:space="preserve"> morfolojik sınıflama FAB sınıflamasına göre yapılmaktadır.</w:t>
      </w:r>
      <w:r w:rsidR="00541AB7">
        <w:rPr>
          <w:rFonts w:ascii="Times New Roman" w:hAnsi="Times New Roman" w:cs="Times New Roman"/>
          <w:sz w:val="24"/>
          <w:szCs w:val="24"/>
        </w:rPr>
        <w:t xml:space="preserve"> Farklılaşmamış, gra</w:t>
      </w:r>
      <w:r>
        <w:rPr>
          <w:rFonts w:ascii="Times New Roman" w:hAnsi="Times New Roman" w:cs="Times New Roman"/>
          <w:sz w:val="24"/>
          <w:szCs w:val="24"/>
        </w:rPr>
        <w:t xml:space="preserve">nüllü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atipik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çubuğu gibi hücre içi yapılar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miyelodisplazi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varlığı ortaya konmalıdır.</w:t>
      </w:r>
      <w:r w:rsidR="00C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Sitokimyasal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boyalar ile 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miyeloid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miyeloperoksidaz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[MPO] pozitif) ve 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monoblastik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farklılaşma (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nonspesifik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esteraz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[NSE] pozitif)</w:t>
      </w:r>
      <w:r w:rsidR="00CE2708">
        <w:rPr>
          <w:rFonts w:ascii="Times New Roman" w:hAnsi="Times New Roman" w:cs="Times New Roman"/>
          <w:sz w:val="24"/>
          <w:szCs w:val="24"/>
        </w:rPr>
        <w:t xml:space="preserve"> </w:t>
      </w:r>
      <w:r w:rsidR="00CD6223">
        <w:rPr>
          <w:rFonts w:ascii="Times New Roman" w:hAnsi="Times New Roman" w:cs="Times New Roman"/>
          <w:sz w:val="24"/>
          <w:szCs w:val="24"/>
        </w:rPr>
        <w:t xml:space="preserve">gösterilebilir. FAB M7 ve FAB M0 </w:t>
      </w:r>
      <w:proofErr w:type="spellStart"/>
      <w:r w:rsidR="00CD6223">
        <w:rPr>
          <w:rFonts w:ascii="Times New Roman" w:hAnsi="Times New Roman" w:cs="Times New Roman"/>
          <w:sz w:val="24"/>
          <w:szCs w:val="24"/>
        </w:rPr>
        <w:t>immunofenotipleme</w:t>
      </w:r>
      <w:proofErr w:type="spellEnd"/>
      <w:r w:rsidR="00CD6223">
        <w:rPr>
          <w:rFonts w:ascii="Times New Roman" w:hAnsi="Times New Roman" w:cs="Times New Roman"/>
          <w:sz w:val="24"/>
          <w:szCs w:val="24"/>
        </w:rPr>
        <w:t xml:space="preserve"> ile doğrulanmalıdır, ancak FAB M7’de tipik morfolojik özellikler de görülebilir.</w:t>
      </w:r>
      <w:r w:rsidR="00D0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F9">
        <w:rPr>
          <w:rFonts w:ascii="Times New Roman" w:hAnsi="Times New Roman" w:cs="Times New Roman"/>
          <w:sz w:val="24"/>
          <w:szCs w:val="24"/>
        </w:rPr>
        <w:t>Miyelofibroz</w:t>
      </w:r>
      <w:proofErr w:type="spellEnd"/>
      <w:r w:rsidR="00D043F9">
        <w:rPr>
          <w:rFonts w:ascii="Times New Roman" w:hAnsi="Times New Roman" w:cs="Times New Roman"/>
          <w:sz w:val="24"/>
          <w:szCs w:val="24"/>
        </w:rPr>
        <w:t xml:space="preserve"> varlığı sıklıkla akut </w:t>
      </w:r>
      <w:proofErr w:type="spellStart"/>
      <w:r w:rsidR="00D043F9">
        <w:rPr>
          <w:rFonts w:ascii="Times New Roman" w:hAnsi="Times New Roman" w:cs="Times New Roman"/>
          <w:sz w:val="24"/>
          <w:szCs w:val="24"/>
        </w:rPr>
        <w:t>megakaryoblastik</w:t>
      </w:r>
      <w:proofErr w:type="spellEnd"/>
      <w:r w:rsidR="00D043F9">
        <w:rPr>
          <w:rFonts w:ascii="Times New Roman" w:hAnsi="Times New Roman" w:cs="Times New Roman"/>
          <w:sz w:val="24"/>
          <w:szCs w:val="24"/>
        </w:rPr>
        <w:t xml:space="preserve"> lösemi ile ilişkilidir ve kemik iliği örneklemesi </w:t>
      </w:r>
      <w:r w:rsidR="00CE2708">
        <w:rPr>
          <w:rFonts w:ascii="Times New Roman" w:hAnsi="Times New Roman" w:cs="Times New Roman"/>
          <w:sz w:val="24"/>
          <w:szCs w:val="24"/>
        </w:rPr>
        <w:t xml:space="preserve">zor </w:t>
      </w:r>
      <w:r w:rsidR="00D043F9">
        <w:rPr>
          <w:rFonts w:ascii="Times New Roman" w:hAnsi="Times New Roman" w:cs="Times New Roman"/>
          <w:sz w:val="24"/>
          <w:szCs w:val="24"/>
        </w:rPr>
        <w:t xml:space="preserve">olabilir. </w:t>
      </w:r>
      <w:proofErr w:type="spellStart"/>
      <w:r w:rsidR="0032471C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32471C">
        <w:rPr>
          <w:rFonts w:ascii="Times New Roman" w:hAnsi="Times New Roman" w:cs="Times New Roman"/>
          <w:sz w:val="24"/>
          <w:szCs w:val="24"/>
        </w:rPr>
        <w:t xml:space="preserve"> oranı %20’nin üzerindeyse AML tanısı konur. </w:t>
      </w:r>
      <w:proofErr w:type="spellStart"/>
      <w:r w:rsidR="00D043F9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D043F9">
        <w:rPr>
          <w:rFonts w:ascii="Times New Roman" w:hAnsi="Times New Roman" w:cs="Times New Roman"/>
          <w:sz w:val="24"/>
          <w:szCs w:val="24"/>
        </w:rPr>
        <w:t xml:space="preserve"> oranı %20’nin altındaysa </w:t>
      </w:r>
      <w:proofErr w:type="spellStart"/>
      <w:r w:rsidR="00634BCE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="00634BCE">
        <w:rPr>
          <w:rFonts w:ascii="Times New Roman" w:hAnsi="Times New Roman" w:cs="Times New Roman"/>
          <w:sz w:val="24"/>
          <w:szCs w:val="24"/>
        </w:rPr>
        <w:t xml:space="preserve"> </w:t>
      </w:r>
      <w:r w:rsidR="00D043F9">
        <w:rPr>
          <w:rFonts w:ascii="Times New Roman" w:hAnsi="Times New Roman" w:cs="Times New Roman"/>
          <w:sz w:val="24"/>
          <w:szCs w:val="24"/>
        </w:rPr>
        <w:t>kemik iliği biyopsisi ile birlikte tekrarlanmalıdır.</w:t>
      </w:r>
    </w:p>
    <w:p w:rsidR="004C61EA" w:rsidRDefault="004C61EA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1EA" w:rsidRDefault="004C61EA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AML ve MDS Ayırımı:</w:t>
      </w:r>
    </w:p>
    <w:p w:rsidR="004C61EA" w:rsidRDefault="004C61E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Düşük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 </w:t>
      </w:r>
      <w:r w:rsidR="007B003E">
        <w:rPr>
          <w:rFonts w:ascii="Times New Roman" w:hAnsi="Times New Roman" w:cs="Times New Roman"/>
          <w:sz w:val="24"/>
          <w:szCs w:val="24"/>
        </w:rPr>
        <w:t xml:space="preserve">olan hastalarda </w:t>
      </w:r>
      <w:r w:rsidRPr="004C61EA">
        <w:rPr>
          <w:rFonts w:ascii="Times New Roman" w:hAnsi="Times New Roman" w:cs="Times New Roman"/>
          <w:sz w:val="24"/>
          <w:szCs w:val="24"/>
        </w:rPr>
        <w:t>AML ve ileri</w:t>
      </w:r>
      <w:r>
        <w:rPr>
          <w:rFonts w:ascii="Times New Roman" w:hAnsi="Times New Roman" w:cs="Times New Roman"/>
          <w:sz w:val="24"/>
          <w:szCs w:val="24"/>
        </w:rPr>
        <w:t xml:space="preserve"> evre MDS ayırımı güç olabilir. Kemik iliği biyopsisi yapılmalıd</w:t>
      </w:r>
      <w:r w:rsidR="00A21EDE">
        <w:rPr>
          <w:rFonts w:ascii="Times New Roman" w:hAnsi="Times New Roman" w:cs="Times New Roman"/>
          <w:sz w:val="24"/>
          <w:szCs w:val="24"/>
        </w:rPr>
        <w:t>ır. Bu</w:t>
      </w:r>
      <w:r w:rsidR="00A84614">
        <w:rPr>
          <w:rFonts w:ascii="Times New Roman" w:hAnsi="Times New Roman" w:cs="Times New Roman"/>
          <w:sz w:val="24"/>
          <w:szCs w:val="24"/>
        </w:rPr>
        <w:t>,</w:t>
      </w:r>
      <w:r w:rsidR="00A21EDE">
        <w:rPr>
          <w:rFonts w:ascii="Times New Roman" w:hAnsi="Times New Roman" w:cs="Times New Roman"/>
          <w:sz w:val="24"/>
          <w:szCs w:val="24"/>
        </w:rPr>
        <w:t xml:space="preserve"> tedavi için önemlidir çün</w:t>
      </w:r>
      <w:r>
        <w:rPr>
          <w:rFonts w:ascii="Times New Roman" w:hAnsi="Times New Roman" w:cs="Times New Roman"/>
          <w:sz w:val="24"/>
          <w:szCs w:val="24"/>
        </w:rPr>
        <w:t xml:space="preserve">kü MDS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hematopoetik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 hücre nakli (HKHN) ile tedavi edilebilmektedir.</w:t>
      </w:r>
      <w:r w:rsidR="00A21EDE">
        <w:rPr>
          <w:rFonts w:ascii="Times New Roman" w:hAnsi="Times New Roman" w:cs="Times New Roman"/>
          <w:sz w:val="24"/>
          <w:szCs w:val="24"/>
        </w:rPr>
        <w:t xml:space="preserve"> Çocuklarda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MDS’de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sayısı %20-30 arasında olabilir.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AML’ye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özgü genetik sonuçlar,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hiperlökositoz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="00350DF4">
        <w:rPr>
          <w:rFonts w:ascii="Times New Roman" w:hAnsi="Times New Roman" w:cs="Times New Roman"/>
          <w:sz w:val="24"/>
          <w:szCs w:val="24"/>
        </w:rPr>
        <w:t xml:space="preserve"> (EM)</w:t>
      </w:r>
      <w:r w:rsidR="00A21EDE">
        <w:rPr>
          <w:rFonts w:ascii="Times New Roman" w:hAnsi="Times New Roman" w:cs="Times New Roman"/>
          <w:sz w:val="24"/>
          <w:szCs w:val="24"/>
        </w:rPr>
        <w:t xml:space="preserve"> hastalık ve 2-4 hafta kadar k</w:t>
      </w:r>
      <w:r w:rsidR="00D04061">
        <w:rPr>
          <w:rFonts w:ascii="Times New Roman" w:hAnsi="Times New Roman" w:cs="Times New Roman"/>
          <w:sz w:val="24"/>
          <w:szCs w:val="24"/>
        </w:rPr>
        <w:t>ıs</w:t>
      </w:r>
      <w:r w:rsidR="00A21EDE">
        <w:rPr>
          <w:rFonts w:ascii="Times New Roman" w:hAnsi="Times New Roman" w:cs="Times New Roman"/>
          <w:sz w:val="24"/>
          <w:szCs w:val="24"/>
        </w:rPr>
        <w:t xml:space="preserve">a bir sürede görülen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progresyon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daha çok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AML’yi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destekler.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EDE">
        <w:rPr>
          <w:rFonts w:ascii="Times New Roman" w:hAnsi="Times New Roman" w:cs="Times New Roman"/>
          <w:sz w:val="24"/>
          <w:szCs w:val="24"/>
        </w:rPr>
        <w:t>sendromlu</w:t>
      </w:r>
      <w:proofErr w:type="gramEnd"/>
      <w:r w:rsidR="00A21EDE">
        <w:rPr>
          <w:rFonts w:ascii="Times New Roman" w:hAnsi="Times New Roman" w:cs="Times New Roman"/>
          <w:sz w:val="24"/>
          <w:szCs w:val="24"/>
        </w:rPr>
        <w:t xml:space="preserve"> çocuklarda da kemik iliğinde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lösemik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 xml:space="preserve"> oranı %20 eşiğini aşmasa da AML tanısı konmalıdır.</w:t>
      </w:r>
      <w:r w:rsidR="00541AB7">
        <w:rPr>
          <w:rFonts w:ascii="Times New Roman" w:hAnsi="Times New Roman" w:cs="Times New Roman"/>
          <w:sz w:val="24"/>
          <w:szCs w:val="24"/>
        </w:rPr>
        <w:t xml:space="preserve"> Aynı şekilde </w:t>
      </w:r>
      <w:r w:rsidR="00D04061">
        <w:rPr>
          <w:rFonts w:ascii="Times New Roman" w:hAnsi="Times New Roman" w:cs="Times New Roman"/>
          <w:sz w:val="24"/>
          <w:szCs w:val="24"/>
        </w:rPr>
        <w:t xml:space="preserve">kemik iliğinde </w:t>
      </w:r>
      <w:proofErr w:type="spellStart"/>
      <w:r w:rsidR="00D04061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D04061">
        <w:rPr>
          <w:rFonts w:ascii="Times New Roman" w:hAnsi="Times New Roman" w:cs="Times New Roman"/>
          <w:sz w:val="24"/>
          <w:szCs w:val="24"/>
        </w:rPr>
        <w:t xml:space="preserve"> sayısının düşük (&lt;%20) </w:t>
      </w:r>
      <w:r w:rsidR="00A21EDE">
        <w:rPr>
          <w:rFonts w:ascii="Times New Roman" w:hAnsi="Times New Roman" w:cs="Times New Roman"/>
          <w:sz w:val="24"/>
          <w:szCs w:val="24"/>
        </w:rPr>
        <w:t>ol</w:t>
      </w:r>
      <w:r w:rsidR="00D04061">
        <w:rPr>
          <w:rFonts w:ascii="Times New Roman" w:hAnsi="Times New Roman" w:cs="Times New Roman"/>
          <w:sz w:val="24"/>
          <w:szCs w:val="24"/>
        </w:rPr>
        <w:t xml:space="preserve">duğu durumlarda </w:t>
      </w:r>
      <w:r w:rsidR="00A21EDE">
        <w:rPr>
          <w:rFonts w:ascii="Times New Roman" w:hAnsi="Times New Roman" w:cs="Times New Roman"/>
          <w:sz w:val="24"/>
          <w:szCs w:val="24"/>
        </w:rPr>
        <w:t>t(8;21</w:t>
      </w:r>
      <w:r w:rsidR="00D04061">
        <w:rPr>
          <w:rFonts w:ascii="Times New Roman" w:hAnsi="Times New Roman" w:cs="Times New Roman"/>
          <w:sz w:val="24"/>
          <w:szCs w:val="24"/>
        </w:rPr>
        <w:t>),</w:t>
      </w:r>
      <w:r w:rsidR="00A21EDE">
        <w:rPr>
          <w:rFonts w:ascii="Times New Roman" w:hAnsi="Times New Roman" w:cs="Times New Roman"/>
          <w:sz w:val="24"/>
          <w:szCs w:val="24"/>
        </w:rPr>
        <w:t xml:space="preserve"> t(15;17), </w:t>
      </w:r>
      <w:proofErr w:type="spellStart"/>
      <w:r w:rsidR="00A21EDE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A21EDE">
        <w:rPr>
          <w:rFonts w:ascii="Times New Roman" w:hAnsi="Times New Roman" w:cs="Times New Roman"/>
          <w:sz w:val="24"/>
          <w:szCs w:val="24"/>
        </w:rPr>
        <w:t>(16)</w:t>
      </w:r>
      <w:r w:rsidR="00A702BF">
        <w:rPr>
          <w:rFonts w:ascii="Times New Roman" w:hAnsi="Times New Roman" w:cs="Times New Roman"/>
          <w:sz w:val="24"/>
          <w:szCs w:val="24"/>
        </w:rPr>
        <w:t xml:space="preserve"> veya t(16;16) gibi tekrarlayan genetik </w:t>
      </w:r>
      <w:proofErr w:type="gramStart"/>
      <w:r w:rsidR="00A702BF">
        <w:rPr>
          <w:rFonts w:ascii="Times New Roman" w:hAnsi="Times New Roman" w:cs="Times New Roman"/>
          <w:sz w:val="24"/>
          <w:szCs w:val="24"/>
        </w:rPr>
        <w:t>anomaliler</w:t>
      </w:r>
      <w:proofErr w:type="gramEnd"/>
      <w:r w:rsidR="00D04061">
        <w:rPr>
          <w:rFonts w:ascii="Times New Roman" w:hAnsi="Times New Roman" w:cs="Times New Roman"/>
          <w:sz w:val="24"/>
          <w:szCs w:val="24"/>
        </w:rPr>
        <w:t xml:space="preserve"> saptanırsa da </w:t>
      </w:r>
      <w:r w:rsidR="00A702BF">
        <w:rPr>
          <w:rFonts w:ascii="Times New Roman" w:hAnsi="Times New Roman" w:cs="Times New Roman"/>
          <w:sz w:val="24"/>
          <w:szCs w:val="24"/>
        </w:rPr>
        <w:t xml:space="preserve">AML tanısı </w:t>
      </w:r>
      <w:r w:rsidR="00D04061">
        <w:rPr>
          <w:rFonts w:ascii="Times New Roman" w:hAnsi="Times New Roman" w:cs="Times New Roman"/>
          <w:sz w:val="24"/>
          <w:szCs w:val="24"/>
        </w:rPr>
        <w:t>k</w:t>
      </w:r>
      <w:r w:rsidR="00A702BF">
        <w:rPr>
          <w:rFonts w:ascii="Times New Roman" w:hAnsi="Times New Roman" w:cs="Times New Roman"/>
          <w:sz w:val="24"/>
          <w:szCs w:val="24"/>
        </w:rPr>
        <w:t>onmalıdır.</w:t>
      </w:r>
    </w:p>
    <w:p w:rsidR="00267F37" w:rsidRPr="004C61EA" w:rsidRDefault="00267F37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949"/>
        <w:gridCol w:w="1842"/>
        <w:gridCol w:w="1749"/>
        <w:gridCol w:w="901"/>
        <w:gridCol w:w="1281"/>
      </w:tblGrid>
      <w:tr w:rsidR="00267F37" w:rsidRPr="00D83DBD" w:rsidTr="002C3380">
        <w:trPr>
          <w:trHeight w:val="327"/>
        </w:trPr>
        <w:tc>
          <w:tcPr>
            <w:tcW w:w="8481" w:type="dxa"/>
            <w:gridSpan w:val="6"/>
            <w:tcBorders>
              <w:left w:val="nil"/>
              <w:bottom w:val="single" w:sz="12" w:space="0" w:color="FFFFFF"/>
              <w:right w:val="nil"/>
            </w:tcBorders>
            <w:shd w:val="clear" w:color="auto" w:fill="231F20"/>
          </w:tcPr>
          <w:p w:rsidR="00267F37" w:rsidRPr="00D83DBD" w:rsidRDefault="00267F37" w:rsidP="002C3380">
            <w:pPr>
              <w:pStyle w:val="TableParagraph"/>
              <w:ind w:left="22"/>
              <w:rPr>
                <w:rFonts w:ascii="Times New Roman"/>
                <w:color w:val="E7E6E6" w:themeColor="background2"/>
                <w:sz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>Tablo</w:t>
            </w:r>
            <w:proofErr w:type="spellEnd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>Akut</w:t>
            </w:r>
            <w:proofErr w:type="spellEnd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>lösemide</w:t>
            </w:r>
            <w:proofErr w:type="spellEnd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>sitokimyasal</w:t>
            </w:r>
            <w:proofErr w:type="spellEnd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FFFFFF"/>
                <w:sz w:val="18"/>
                <w:szCs w:val="18"/>
              </w:rPr>
              <w:t>boyalar</w:t>
            </w:r>
            <w:proofErr w:type="spellEnd"/>
          </w:p>
        </w:tc>
      </w:tr>
      <w:tr w:rsidR="00267F37" w:rsidTr="002C3380">
        <w:trPr>
          <w:trHeight w:val="220"/>
        </w:trPr>
        <w:tc>
          <w:tcPr>
            <w:tcW w:w="17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spacing w:before="13" w:line="186" w:lineRule="exact"/>
              <w:ind w:right="103"/>
              <w:jc w:val="right"/>
              <w:rPr>
                <w:sz w:val="17"/>
              </w:rPr>
            </w:pPr>
            <w:proofErr w:type="spellStart"/>
            <w:r>
              <w:rPr>
                <w:color w:val="231F20"/>
                <w:w w:val="85"/>
                <w:sz w:val="17"/>
              </w:rPr>
              <w:t>lenfoblast</w:t>
            </w:r>
            <w:proofErr w:type="spellEnd"/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spacing w:before="13" w:line="186" w:lineRule="exact"/>
              <w:ind w:left="3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miyeloblast</w:t>
            </w:r>
            <w:proofErr w:type="spellEnd"/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spacing w:before="13" w:line="186" w:lineRule="exact"/>
              <w:ind w:left="57" w:right="19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monoblast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spacing w:before="13" w:line="186" w:lineRule="exact"/>
              <w:ind w:left="78" w:right="4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eritroblast</w:t>
            </w:r>
            <w:proofErr w:type="spellEnd"/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A5B9"/>
          </w:tcPr>
          <w:p w:rsidR="00267F37" w:rsidRDefault="00267F37" w:rsidP="002C3380">
            <w:pPr>
              <w:pStyle w:val="TableParagraph"/>
              <w:spacing w:before="13" w:line="186" w:lineRule="exact"/>
              <w:ind w:left="61" w:right="2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95"/>
                <w:sz w:val="17"/>
              </w:rPr>
              <w:t>megakaryoblast</w:t>
            </w:r>
            <w:proofErr w:type="spellEnd"/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6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Peroksidaz</w:t>
            </w:r>
            <w:proofErr w:type="spellEnd"/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6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±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42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Sudan Black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6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±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41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>PAS</w:t>
            </w:r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5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56" w:right="20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-/</w:t>
            </w:r>
            <w:proofErr w:type="spellStart"/>
            <w:r>
              <w:rPr>
                <w:color w:val="231F20"/>
                <w:w w:val="110"/>
                <w:sz w:val="17"/>
              </w:rPr>
              <w:t>granüler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r>
              <w:rPr>
                <w:color w:val="231F20"/>
                <w:w w:val="130"/>
                <w:sz w:val="17"/>
              </w:rPr>
              <w:t>+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78" w:right="40"/>
              <w:jc w:val="center"/>
              <w:rPr>
                <w:sz w:val="17"/>
              </w:rPr>
            </w:pPr>
            <w:r>
              <w:rPr>
                <w:color w:val="231F20"/>
                <w:w w:val="160"/>
                <w:sz w:val="17"/>
              </w:rPr>
              <w:t>+++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109" w:right="68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-/</w:t>
            </w:r>
            <w:proofErr w:type="spellStart"/>
            <w:r>
              <w:rPr>
                <w:color w:val="231F20"/>
                <w:w w:val="110"/>
                <w:sz w:val="17"/>
              </w:rPr>
              <w:t>granüler</w:t>
            </w:r>
            <w:proofErr w:type="spellEnd"/>
            <w:r>
              <w:rPr>
                <w:color w:val="231F20"/>
                <w:w w:val="110"/>
                <w:sz w:val="17"/>
              </w:rPr>
              <w:t xml:space="preserve"> </w:t>
            </w:r>
            <w:r>
              <w:rPr>
                <w:color w:val="231F20"/>
                <w:w w:val="130"/>
                <w:sz w:val="17"/>
              </w:rPr>
              <w:t>+</w:t>
            </w:r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6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Asit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Fosfataz</w:t>
            </w:r>
            <w:proofErr w:type="spellEnd"/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right="161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T ALL </w:t>
            </w:r>
            <w:r>
              <w:rPr>
                <w:color w:val="231F20"/>
                <w:w w:val="135"/>
                <w:sz w:val="17"/>
              </w:rPr>
              <w:t>+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±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109" w:right="68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bölgesel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</w:t>
            </w:r>
            <w:r>
              <w:rPr>
                <w:color w:val="231F20"/>
                <w:w w:val="130"/>
                <w:sz w:val="17"/>
              </w:rPr>
              <w:t>+</w:t>
            </w:r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61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Naftol</w:t>
            </w:r>
            <w:proofErr w:type="spellEnd"/>
            <w:r>
              <w:rPr>
                <w:color w:val="231F20"/>
                <w:sz w:val="17"/>
              </w:rPr>
              <w:t xml:space="preserve"> AS-D </w:t>
            </w:r>
            <w:proofErr w:type="spellStart"/>
            <w:r>
              <w:rPr>
                <w:color w:val="231F20"/>
                <w:sz w:val="17"/>
              </w:rPr>
              <w:t>esteraz</w:t>
            </w:r>
            <w:proofErr w:type="spellEnd"/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5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6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±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6" w:lineRule="exact"/>
              <w:ind w:left="41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267F37" w:rsidTr="002C3380">
        <w:trPr>
          <w:trHeight w:val="222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6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Alfa </w:t>
            </w:r>
            <w:proofErr w:type="spellStart"/>
            <w:r>
              <w:rPr>
                <w:color w:val="231F20"/>
                <w:sz w:val="17"/>
              </w:rPr>
              <w:t>naftil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asetat</w:t>
            </w:r>
            <w:proofErr w:type="spellEnd"/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5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±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 xml:space="preserve">± </w:t>
            </w:r>
            <w:proofErr w:type="spellStart"/>
            <w:r>
              <w:rPr>
                <w:color w:val="231F20"/>
                <w:sz w:val="17"/>
              </w:rPr>
              <w:t>floridle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inhibe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olmaz</w:t>
            </w:r>
            <w:proofErr w:type="spellEnd"/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57" w:right="20"/>
              <w:jc w:val="center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 xml:space="preserve">+ </w:t>
            </w:r>
            <w:proofErr w:type="spellStart"/>
            <w:r>
              <w:rPr>
                <w:color w:val="231F20"/>
                <w:sz w:val="17"/>
              </w:rPr>
              <w:t>floridle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inhibe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olur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BDBDCC"/>
          </w:tcPr>
          <w:p w:rsidR="00267F37" w:rsidRDefault="00267F37" w:rsidP="002C3380">
            <w:pPr>
              <w:pStyle w:val="TableParagraph"/>
              <w:spacing w:before="16" w:line="186" w:lineRule="exact"/>
              <w:ind w:left="108" w:right="68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15"/>
                <w:sz w:val="17"/>
              </w:rPr>
              <w:t>bölgesel</w:t>
            </w:r>
            <w:proofErr w:type="spellEnd"/>
            <w:r>
              <w:rPr>
                <w:color w:val="231F20"/>
                <w:w w:val="115"/>
                <w:sz w:val="17"/>
              </w:rPr>
              <w:t xml:space="preserve"> </w:t>
            </w:r>
            <w:r>
              <w:rPr>
                <w:color w:val="231F20"/>
                <w:w w:val="130"/>
                <w:sz w:val="17"/>
              </w:rPr>
              <w:t>+</w:t>
            </w:r>
          </w:p>
        </w:tc>
      </w:tr>
      <w:tr w:rsidR="00267F37" w:rsidTr="002C3380">
        <w:trPr>
          <w:trHeight w:val="220"/>
        </w:trPr>
        <w:tc>
          <w:tcPr>
            <w:tcW w:w="175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61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 xml:space="preserve">Alfa </w:t>
            </w:r>
            <w:proofErr w:type="spellStart"/>
            <w:r>
              <w:rPr>
                <w:color w:val="231F20"/>
                <w:w w:val="95"/>
                <w:sz w:val="17"/>
              </w:rPr>
              <w:t>naftil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7"/>
              </w:rPr>
              <w:t>bütirat</w:t>
            </w:r>
            <w:proofErr w:type="spellEnd"/>
          </w:p>
        </w:tc>
        <w:tc>
          <w:tcPr>
            <w:tcW w:w="94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34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36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74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36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3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9D9E1"/>
          </w:tcPr>
          <w:p w:rsidR="00267F37" w:rsidRDefault="00267F37" w:rsidP="002C3380">
            <w:pPr>
              <w:pStyle w:val="TableParagraph"/>
              <w:spacing w:before="16" w:line="183" w:lineRule="exact"/>
              <w:ind w:left="40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</w:tbl>
    <w:p w:rsidR="0008332F" w:rsidRDefault="0008332F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1EA" w:rsidRDefault="001743BC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İmmunfenotipleme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43BC" w:rsidRDefault="001743BC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BC">
        <w:rPr>
          <w:rFonts w:ascii="Times New Roman" w:hAnsi="Times New Roman" w:cs="Times New Roman"/>
          <w:sz w:val="24"/>
          <w:szCs w:val="24"/>
        </w:rPr>
        <w:t>AML ve ALL arasında hızlı ayırım yapılmasını sağlar.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İmmunfenotipleme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(İF) FAB sınıflaması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tiplerinin sayımının yerini almaz. FAB M0 (</w:t>
      </w:r>
      <w:proofErr w:type="spellStart"/>
      <w:r>
        <w:rPr>
          <w:rFonts w:ascii="Times New Roman" w:hAnsi="Times New Roman" w:cs="Times New Roman"/>
          <w:sz w:val="24"/>
          <w:szCs w:val="24"/>
        </w:rPr>
        <w:t>sitokimyasal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MPO negatif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İF’de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132">
        <w:rPr>
          <w:rFonts w:ascii="Times New Roman" w:hAnsi="Times New Roman" w:cs="Times New Roman"/>
          <w:sz w:val="24"/>
          <w:szCs w:val="24"/>
        </w:rPr>
        <w:t>MPO,</w:t>
      </w:r>
      <w:proofErr w:type="gramEnd"/>
      <w:r w:rsidR="001E5132">
        <w:rPr>
          <w:rFonts w:ascii="Times New Roman" w:hAnsi="Times New Roman" w:cs="Times New Roman"/>
          <w:sz w:val="24"/>
          <w:szCs w:val="24"/>
        </w:rPr>
        <w:t xml:space="preserve"> ve/veya CD13, CD33, CD117 pozitif)</w:t>
      </w:r>
      <w:r>
        <w:rPr>
          <w:rFonts w:ascii="Times New Roman" w:hAnsi="Times New Roman" w:cs="Times New Roman"/>
          <w:sz w:val="24"/>
          <w:szCs w:val="24"/>
        </w:rPr>
        <w:t xml:space="preserve"> ve M7 (CD41 ve/veya CD61 pozitif) </w:t>
      </w:r>
      <w:r w:rsidR="001E5132">
        <w:rPr>
          <w:rFonts w:ascii="Times New Roman" w:hAnsi="Times New Roman" w:cs="Times New Roman"/>
          <w:sz w:val="24"/>
          <w:szCs w:val="24"/>
        </w:rPr>
        <w:t>sınıflaması için gereklidir.</w:t>
      </w:r>
    </w:p>
    <w:p w:rsidR="001E5132" w:rsidRDefault="001E5132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WHO ve EGIL kriterlerini karşılamak için gerekli minimal panelde yer alması gerekenler AML için CD34, CD117, CD11b, CD11c, CD13, CD14, CD15, CD33, CD64, CD65,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</w:t>
      </w:r>
      <w:proofErr w:type="spellEnd"/>
      <w:r>
        <w:rPr>
          <w:rFonts w:ascii="Times New Roman" w:hAnsi="Times New Roman" w:cs="Times New Roman"/>
          <w:sz w:val="24"/>
          <w:szCs w:val="24"/>
        </w:rPr>
        <w:t>, i-</w:t>
      </w:r>
      <w:proofErr w:type="spellStart"/>
      <w:r>
        <w:rPr>
          <w:rFonts w:ascii="Times New Roman" w:hAnsi="Times New Roman" w:cs="Times New Roman"/>
          <w:sz w:val="24"/>
          <w:szCs w:val="24"/>
        </w:rPr>
        <w:t>lizozim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CD41 ve </w:t>
      </w:r>
      <w:proofErr w:type="gramStart"/>
      <w:r>
        <w:rPr>
          <w:rFonts w:ascii="Times New Roman" w:hAnsi="Times New Roman" w:cs="Times New Roman"/>
          <w:sz w:val="24"/>
          <w:szCs w:val="24"/>
        </w:rPr>
        <w:t>CD61;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akut lösemiler için Cd19, iCD79a, iCD22, CD10 ve iCD3’tür.</w:t>
      </w:r>
    </w:p>
    <w:p w:rsidR="000F79B6" w:rsidRPr="001743BC" w:rsidRDefault="000F79B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9B6" w:rsidRDefault="000F79B6" w:rsidP="000F79B6">
      <w:pPr>
        <w:pStyle w:val="GvdeMetni"/>
        <w:spacing w:before="8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>Tablo</w:t>
      </w:r>
      <w:proofErr w:type="spellEnd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 xml:space="preserve"> 3. </w:t>
      </w:r>
      <w:proofErr w:type="spellStart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>AML’de</w:t>
      </w:r>
      <w:proofErr w:type="spellEnd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 xml:space="preserve"> FAB </w:t>
      </w:r>
      <w:proofErr w:type="spellStart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>sınıflamasına</w:t>
      </w:r>
      <w:proofErr w:type="spellEnd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>göre</w:t>
      </w:r>
      <w:proofErr w:type="spellEnd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0F79B6">
        <w:rPr>
          <w:rFonts w:ascii="Times New Roman" w:eastAsiaTheme="minorHAnsi" w:hAnsi="Times New Roman" w:cs="Times New Roman"/>
          <w:b/>
          <w:sz w:val="24"/>
          <w:szCs w:val="24"/>
        </w:rPr>
        <w:t>immunfenotipleme</w:t>
      </w:r>
      <w:proofErr w:type="spellEnd"/>
    </w:p>
    <w:p w:rsidR="000F79B6" w:rsidRPr="000F79B6" w:rsidRDefault="000F79B6" w:rsidP="000F79B6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45"/>
        <w:gridCol w:w="845"/>
        <w:gridCol w:w="845"/>
        <w:gridCol w:w="845"/>
        <w:gridCol w:w="845"/>
        <w:gridCol w:w="845"/>
        <w:gridCol w:w="845"/>
        <w:gridCol w:w="845"/>
        <w:gridCol w:w="847"/>
      </w:tblGrid>
      <w:tr w:rsidR="000F79B6" w:rsidRPr="000F79B6" w:rsidTr="002C3380">
        <w:trPr>
          <w:trHeight w:val="225"/>
        </w:trPr>
        <w:tc>
          <w:tcPr>
            <w:tcW w:w="857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2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CD34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2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CD117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1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CD13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1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CD33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0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CD14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30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CD15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29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CD41</w:t>
            </w:r>
          </w:p>
        </w:tc>
        <w:tc>
          <w:tcPr>
            <w:tcW w:w="845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129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15"/>
                <w:sz w:val="16"/>
                <w:szCs w:val="16"/>
              </w:rPr>
              <w:t>CD61</w:t>
            </w:r>
          </w:p>
        </w:tc>
        <w:tc>
          <w:tcPr>
            <w:tcW w:w="847" w:type="dxa"/>
            <w:shd w:val="clear" w:color="auto" w:fill="A4A5B9"/>
          </w:tcPr>
          <w:p w:rsidR="000F79B6" w:rsidRPr="000F79B6" w:rsidRDefault="000F79B6" w:rsidP="002C3380">
            <w:pPr>
              <w:pStyle w:val="TableParagraph"/>
              <w:spacing w:before="18" w:line="186" w:lineRule="exact"/>
              <w:ind w:left="235" w:right="2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9B6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GPA</w:t>
            </w:r>
          </w:p>
        </w:tc>
      </w:tr>
      <w:tr w:rsidR="000F79B6" w:rsidTr="002C3380">
        <w:trPr>
          <w:trHeight w:val="222"/>
        </w:trPr>
        <w:tc>
          <w:tcPr>
            <w:tcW w:w="857" w:type="dxa"/>
            <w:tcBorders>
              <w:left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66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M0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131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131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130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129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right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86" w:lineRule="exact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0F79B6" w:rsidTr="002C3380">
        <w:trPr>
          <w:trHeight w:val="222"/>
        </w:trPr>
        <w:tc>
          <w:tcPr>
            <w:tcW w:w="857" w:type="dxa"/>
            <w:tcBorders>
              <w:left w:val="single" w:sz="12" w:space="0" w:color="FFFFFF"/>
            </w:tcBorders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65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M1-2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130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129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128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right w:val="single" w:sz="12" w:space="0" w:color="FFFFFF"/>
            </w:tcBorders>
            <w:shd w:val="clear" w:color="auto" w:fill="BDBDCC"/>
          </w:tcPr>
          <w:p w:rsidR="000F79B6" w:rsidRDefault="000F79B6" w:rsidP="002C3380">
            <w:pPr>
              <w:pStyle w:val="TableParagraph"/>
              <w:spacing w:before="16" w:line="186" w:lineRule="exact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0F79B6" w:rsidTr="002C3380">
        <w:trPr>
          <w:trHeight w:val="232"/>
        </w:trPr>
        <w:tc>
          <w:tcPr>
            <w:tcW w:w="857" w:type="dxa"/>
            <w:tcBorders>
              <w:left w:val="single" w:sz="12" w:space="0" w:color="FFFFFF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65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M3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3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129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bottom w:val="nil"/>
              <w:right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16" w:line="19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0F79B6" w:rsidTr="002C3380">
        <w:trPr>
          <w:trHeight w:val="242"/>
        </w:trPr>
        <w:tc>
          <w:tcPr>
            <w:tcW w:w="857" w:type="dxa"/>
            <w:tcBorders>
              <w:top w:val="nil"/>
              <w:left w:val="single" w:sz="2" w:space="0" w:color="A4A5B9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77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2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66" w:right="245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1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66" w:right="246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2" w:space="0" w:color="A4A5B9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0F79B6" w:rsidTr="002C3380">
        <w:trPr>
          <w:trHeight w:val="242"/>
        </w:trPr>
        <w:tc>
          <w:tcPr>
            <w:tcW w:w="857" w:type="dxa"/>
            <w:tcBorders>
              <w:top w:val="nil"/>
              <w:left w:val="single" w:sz="12" w:space="0" w:color="FFFFFF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64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M5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28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-(+)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27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26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96" w:lineRule="exact"/>
              <w:ind w:left="20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  <w:tr w:rsidR="000F79B6" w:rsidTr="002C3380">
        <w:trPr>
          <w:trHeight w:val="242"/>
        </w:trPr>
        <w:tc>
          <w:tcPr>
            <w:tcW w:w="857" w:type="dxa"/>
            <w:tcBorders>
              <w:top w:val="nil"/>
              <w:left w:val="single" w:sz="2" w:space="0" w:color="A4A5B9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76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66" w:right="246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66" w:right="246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265" w:right="24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2" w:space="0" w:color="A4A5B9"/>
            </w:tcBorders>
            <w:shd w:val="clear" w:color="auto" w:fill="BCBEC0"/>
          </w:tcPr>
          <w:p w:rsidR="000F79B6" w:rsidRDefault="000F79B6" w:rsidP="002C3380">
            <w:pPr>
              <w:pStyle w:val="TableParagraph"/>
              <w:spacing w:before="26" w:line="196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</w:tr>
      <w:tr w:rsidR="000F79B6" w:rsidTr="002C3380">
        <w:trPr>
          <w:trHeight w:val="230"/>
        </w:trPr>
        <w:tc>
          <w:tcPr>
            <w:tcW w:w="857" w:type="dxa"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64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M7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27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26" w:right="107"/>
              <w:jc w:val="center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+/-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25" w:right="10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+(-)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8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5" w:type="dxa"/>
            <w:tcBorders>
              <w:top w:val="nil"/>
              <w:bottom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7"/>
              <w:jc w:val="center"/>
              <w:rPr>
                <w:sz w:val="17"/>
              </w:rPr>
            </w:pPr>
            <w:r>
              <w:rPr>
                <w:color w:val="231F20"/>
                <w:w w:val="158"/>
                <w:sz w:val="17"/>
              </w:rPr>
              <w:t>+</w:t>
            </w:r>
          </w:p>
        </w:tc>
        <w:tc>
          <w:tcPr>
            <w:tcW w:w="847" w:type="dxa"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9D9E1"/>
          </w:tcPr>
          <w:p w:rsidR="000F79B6" w:rsidRDefault="000F79B6" w:rsidP="002C3380">
            <w:pPr>
              <w:pStyle w:val="TableParagraph"/>
              <w:spacing w:before="26" w:line="184" w:lineRule="exact"/>
              <w:ind w:left="19"/>
              <w:jc w:val="center"/>
              <w:rPr>
                <w:sz w:val="17"/>
              </w:rPr>
            </w:pPr>
            <w:r>
              <w:rPr>
                <w:color w:val="231F20"/>
                <w:w w:val="94"/>
                <w:sz w:val="17"/>
              </w:rPr>
              <w:t>-</w:t>
            </w:r>
          </w:p>
        </w:tc>
      </w:tr>
    </w:tbl>
    <w:p w:rsidR="0008332F" w:rsidRDefault="0008332F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54C" w:rsidRDefault="0093254C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2F" w:rsidRDefault="0008332F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Konvansiyonel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Sitogenetik</w:t>
      </w:r>
      <w:proofErr w:type="spellEnd"/>
      <w:r w:rsidR="007B003E">
        <w:rPr>
          <w:rFonts w:ascii="Times New Roman" w:hAnsi="Times New Roman" w:cs="Times New Roman"/>
          <w:b/>
          <w:sz w:val="24"/>
          <w:szCs w:val="24"/>
        </w:rPr>
        <w:t xml:space="preserve"> ve FISH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61EA" w:rsidRDefault="001F5268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268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Pr="001F5268">
        <w:rPr>
          <w:rFonts w:ascii="Times New Roman" w:hAnsi="Times New Roman" w:cs="Times New Roman"/>
          <w:sz w:val="24"/>
          <w:szCs w:val="24"/>
        </w:rPr>
        <w:t xml:space="preserve"> çocukların %70-80’inde konvansiyonel </w:t>
      </w:r>
      <w:proofErr w:type="spellStart"/>
      <w:r w:rsidRPr="001F5268">
        <w:rPr>
          <w:rFonts w:ascii="Times New Roman" w:hAnsi="Times New Roman" w:cs="Times New Roman"/>
          <w:sz w:val="24"/>
          <w:szCs w:val="24"/>
        </w:rPr>
        <w:t>sitogenetik</w:t>
      </w:r>
      <w:proofErr w:type="spellEnd"/>
      <w:r w:rsidRPr="001F5268">
        <w:rPr>
          <w:rFonts w:ascii="Times New Roman" w:hAnsi="Times New Roman" w:cs="Times New Roman"/>
          <w:sz w:val="24"/>
          <w:szCs w:val="24"/>
        </w:rPr>
        <w:t xml:space="preserve"> ile yapısal ve sayısal </w:t>
      </w:r>
      <w:proofErr w:type="gramStart"/>
      <w:r w:rsidRPr="001F5268">
        <w:rPr>
          <w:rFonts w:ascii="Times New Roman" w:hAnsi="Times New Roman" w:cs="Times New Roman"/>
          <w:sz w:val="24"/>
          <w:szCs w:val="24"/>
        </w:rPr>
        <w:t>anomaliler</w:t>
      </w:r>
      <w:proofErr w:type="gramEnd"/>
      <w:r w:rsidRPr="001F5268">
        <w:rPr>
          <w:rFonts w:ascii="Times New Roman" w:hAnsi="Times New Roman" w:cs="Times New Roman"/>
          <w:sz w:val="24"/>
          <w:szCs w:val="24"/>
        </w:rPr>
        <w:t xml:space="preserve"> saptanabilmektedir.</w:t>
      </w:r>
      <w:r>
        <w:rPr>
          <w:rFonts w:ascii="Times New Roman" w:hAnsi="Times New Roman" w:cs="Times New Roman"/>
          <w:sz w:val="24"/>
          <w:szCs w:val="24"/>
        </w:rPr>
        <w:t xml:space="preserve"> Belirli füzyon genleri,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translokasyon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ürünleri veya kromozomlardaki kısmi kayıplar FISH ile saptanabilir.</w:t>
      </w:r>
    </w:p>
    <w:p w:rsidR="00DD7144" w:rsidRDefault="00DD7144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Çocukluk çağı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AML’sinde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toplamda olguların yaklaşık yarısında olmak üzere en sık t(8;21),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(16), t(15;17) ve 11q23/</w:t>
      </w:r>
      <w:r w:rsidRPr="00DD7144">
        <w:rPr>
          <w:rFonts w:ascii="Times New Roman" w:hAnsi="Times New Roman" w:cs="Times New Roman"/>
          <w:sz w:val="24"/>
          <w:szCs w:val="24"/>
        </w:rPr>
        <w:t xml:space="preserve"> </w:t>
      </w:r>
      <w:r w:rsidRPr="00DD7144">
        <w:rPr>
          <w:rFonts w:ascii="Times New Roman" w:hAnsi="Times New Roman" w:cs="Times New Roman"/>
          <w:i/>
          <w:sz w:val="24"/>
          <w:szCs w:val="24"/>
        </w:rPr>
        <w:t>KMT2A (MLL)</w:t>
      </w:r>
      <w:r>
        <w:rPr>
          <w:rFonts w:ascii="Times New Roman" w:hAnsi="Times New Roman" w:cs="Times New Roman"/>
          <w:sz w:val="24"/>
          <w:szCs w:val="24"/>
        </w:rPr>
        <w:t xml:space="preserve"> yeniden düzenlenmesi saptanmaktadır.</w:t>
      </w:r>
      <w:r w:rsidR="00600350">
        <w:rPr>
          <w:rFonts w:ascii="Times New Roman" w:hAnsi="Times New Roman" w:cs="Times New Roman"/>
          <w:sz w:val="24"/>
          <w:szCs w:val="24"/>
        </w:rPr>
        <w:t xml:space="preserve"> CBF-AML (</w:t>
      </w:r>
      <w:proofErr w:type="spellStart"/>
      <w:r w:rsidR="0060035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0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50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600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5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600350">
        <w:rPr>
          <w:rFonts w:ascii="Times New Roman" w:hAnsi="Times New Roman" w:cs="Times New Roman"/>
          <w:sz w:val="24"/>
          <w:szCs w:val="24"/>
        </w:rPr>
        <w:t xml:space="preserve"> AML)</w:t>
      </w:r>
      <w:r w:rsidR="00944ECC">
        <w:rPr>
          <w:rFonts w:ascii="Times New Roman" w:hAnsi="Times New Roman" w:cs="Times New Roman"/>
          <w:sz w:val="24"/>
          <w:szCs w:val="24"/>
        </w:rPr>
        <w:t xml:space="preserve"> t(8;21) ve </w:t>
      </w:r>
      <w:proofErr w:type="spellStart"/>
      <w:r w:rsidR="00944ECC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944ECC">
        <w:rPr>
          <w:rFonts w:ascii="Times New Roman" w:hAnsi="Times New Roman" w:cs="Times New Roman"/>
          <w:sz w:val="24"/>
          <w:szCs w:val="24"/>
        </w:rPr>
        <w:t xml:space="preserve">(16) </w:t>
      </w:r>
      <w:proofErr w:type="gramStart"/>
      <w:r w:rsidR="00944ECC">
        <w:rPr>
          <w:rFonts w:ascii="Times New Roman" w:hAnsi="Times New Roman" w:cs="Times New Roman"/>
          <w:sz w:val="24"/>
          <w:szCs w:val="24"/>
        </w:rPr>
        <w:t>anomalisinin</w:t>
      </w:r>
      <w:proofErr w:type="gramEnd"/>
      <w:r w:rsidR="00944ECC">
        <w:rPr>
          <w:rFonts w:ascii="Times New Roman" w:hAnsi="Times New Roman" w:cs="Times New Roman"/>
          <w:sz w:val="24"/>
          <w:szCs w:val="24"/>
        </w:rPr>
        <w:t xml:space="preserve"> olduğu gruba verilen isimdir.</w:t>
      </w:r>
      <w:r w:rsidR="00E6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C0" w:rsidRPr="00CE45DC" w:rsidRDefault="002F7EC0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DC" w:rsidRPr="00CE45DC" w:rsidRDefault="00CE45DC" w:rsidP="00CE4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5DC">
        <w:rPr>
          <w:rFonts w:ascii="Times New Roman" w:hAnsi="Times New Roman" w:cs="Times New Roman"/>
          <w:b/>
          <w:sz w:val="24"/>
          <w:szCs w:val="24"/>
        </w:rPr>
        <w:t>Tablo</w:t>
      </w:r>
      <w:r w:rsidR="00A832D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E45DC">
        <w:rPr>
          <w:rFonts w:ascii="Times New Roman" w:hAnsi="Times New Roman" w:cs="Times New Roman"/>
          <w:b/>
          <w:sz w:val="24"/>
          <w:szCs w:val="24"/>
        </w:rPr>
        <w:t xml:space="preserve">. Çocukluk Çağı </w:t>
      </w:r>
      <w:proofErr w:type="spellStart"/>
      <w:r w:rsidRPr="00CE45DC">
        <w:rPr>
          <w:rFonts w:ascii="Times New Roman" w:hAnsi="Times New Roman" w:cs="Times New Roman"/>
          <w:b/>
          <w:sz w:val="24"/>
          <w:szCs w:val="24"/>
        </w:rPr>
        <w:t>AML’sinde</w:t>
      </w:r>
      <w:proofErr w:type="spellEnd"/>
      <w:r w:rsidRPr="00CE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C0" w:rsidRPr="00CE45DC">
        <w:rPr>
          <w:rFonts w:ascii="Times New Roman" w:hAnsi="Times New Roman" w:cs="Times New Roman"/>
          <w:b/>
          <w:sz w:val="24"/>
          <w:szCs w:val="24"/>
        </w:rPr>
        <w:t>Genetik</w:t>
      </w:r>
      <w:r w:rsidR="00382793">
        <w:rPr>
          <w:rFonts w:ascii="Times New Roman" w:hAnsi="Times New Roman" w:cs="Times New Roman"/>
          <w:b/>
          <w:sz w:val="24"/>
          <w:szCs w:val="24"/>
        </w:rPr>
        <w:t xml:space="preserve">le Tanımlanmış </w:t>
      </w:r>
      <w:proofErr w:type="spellStart"/>
      <w:r w:rsidRPr="00CE45DC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Pr="00CE45DC">
        <w:rPr>
          <w:rFonts w:ascii="Times New Roman" w:hAnsi="Times New Roman" w:cs="Times New Roman"/>
          <w:b/>
          <w:sz w:val="24"/>
          <w:szCs w:val="24"/>
        </w:rPr>
        <w:t xml:space="preserve"> Gruplar</w:t>
      </w:r>
      <w:r w:rsidRPr="00CE4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7EC0" w:rsidRDefault="002F7EC0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768E3" w:rsidTr="008768E3">
        <w:tc>
          <w:tcPr>
            <w:tcW w:w="2972" w:type="dxa"/>
          </w:tcPr>
          <w:p w:rsidR="008768E3" w:rsidRPr="000E4170" w:rsidRDefault="00237038" w:rsidP="0087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İyi </w:t>
            </w:r>
            <w:proofErr w:type="spellStart"/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prognozlu</w:t>
            </w:r>
            <w:proofErr w:type="spellEnd"/>
          </w:p>
        </w:tc>
        <w:tc>
          <w:tcPr>
            <w:tcW w:w="6090" w:type="dxa"/>
          </w:tcPr>
          <w:p w:rsidR="008768E3" w:rsidRDefault="00237038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(8;21) </w:t>
            </w:r>
            <w:r w:rsidR="008768E3"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RUNX1</w:t>
            </w:r>
            <w:r w:rsidR="008768E3" w:rsidRPr="001F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8E3"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RUNX1T1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600350" w:rsidRDefault="00212E43" w:rsidP="00600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  <w:r w:rsidR="00237038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t(16;16) </w:t>
            </w:r>
            <w:r w:rsidR="008768E3"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CBFB</w:t>
            </w:r>
            <w:r w:rsidR="008768E3" w:rsidRPr="001F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8E3"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MYH11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2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="00212E43">
              <w:rPr>
                <w:rFonts w:ascii="Times New Roman" w:hAnsi="Times New Roman" w:cs="Times New Roman"/>
                <w:sz w:val="24"/>
                <w:szCs w:val="24"/>
              </w:rPr>
              <w:t>(15;17)</w:t>
            </w:r>
            <w:r w:rsidR="00212E43"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PML-RARA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2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Mole</w:t>
            </w:r>
            <w:r w:rsidR="00212E43">
              <w:rPr>
                <w:rFonts w:ascii="Times New Roman" w:hAnsi="Times New Roman" w:cs="Times New Roman"/>
                <w:sz w:val="24"/>
                <w:szCs w:val="24"/>
              </w:rPr>
              <w:t>küler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2E43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proofErr w:type="spellStart"/>
            <w:r w:rsidR="00212E43">
              <w:rPr>
                <w:rFonts w:ascii="Times New Roman" w:hAnsi="Times New Roman" w:cs="Times New Roman"/>
                <w:sz w:val="24"/>
                <w:szCs w:val="24"/>
              </w:rPr>
              <w:t>karyotipli</w:t>
            </w:r>
            <w:proofErr w:type="spellEnd"/>
            <w:r w:rsidR="0021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AML</w:t>
            </w:r>
            <w:r w:rsidR="00212E43">
              <w:rPr>
                <w:rFonts w:ascii="Times New Roman" w:hAnsi="Times New Roman" w:cs="Times New Roman"/>
                <w:sz w:val="24"/>
                <w:szCs w:val="24"/>
              </w:rPr>
              <w:t>’de</w:t>
            </w:r>
            <w:proofErr w:type="spellEnd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8768E3" w:rsidRDefault="008768E3" w:rsidP="002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NPM1</w:t>
            </w:r>
            <w:r w:rsidR="00212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mutasyonlu</w:t>
            </w: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AML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2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CEBPA </w:t>
            </w:r>
            <w:r w:rsidR="00212E43">
              <w:rPr>
                <w:rFonts w:ascii="Times New Roman" w:hAnsi="Times New Roman" w:cs="Times New Roman"/>
                <w:sz w:val="24"/>
                <w:szCs w:val="24"/>
              </w:rPr>
              <w:t>çift mutasyonu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212E43" w:rsidP="0021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(1;11) 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327648" w:rsidRDefault="00212E43" w:rsidP="0087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6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GATA1s </w:t>
            </w:r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(özellikle </w:t>
            </w:r>
            <w:proofErr w:type="spellStart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>Down</w:t>
            </w:r>
            <w:proofErr w:type="spellEnd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>sendromlu</w:t>
            </w:r>
            <w:proofErr w:type="gramEnd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ve </w:t>
            </w:r>
            <w:proofErr w:type="spellStart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>infant</w:t>
            </w:r>
            <w:proofErr w:type="spellEnd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olguların </w:t>
            </w:r>
            <w:proofErr w:type="spellStart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>megakaryoblastik</w:t>
            </w:r>
            <w:proofErr w:type="spellEnd"/>
            <w:r w:rsidRPr="003276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lösemisinde)</w:t>
            </w:r>
          </w:p>
        </w:tc>
      </w:tr>
      <w:tr w:rsidR="008768E3" w:rsidTr="008768E3">
        <w:tc>
          <w:tcPr>
            <w:tcW w:w="2972" w:type="dxa"/>
          </w:tcPr>
          <w:p w:rsidR="008768E3" w:rsidRPr="000E4170" w:rsidRDefault="00237038" w:rsidP="00313D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 </w:t>
            </w:r>
            <w:proofErr w:type="spellStart"/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prognozlu</w:t>
            </w:r>
            <w:proofErr w:type="spellEnd"/>
          </w:p>
        </w:tc>
        <w:tc>
          <w:tcPr>
            <w:tcW w:w="6090" w:type="dxa"/>
          </w:tcPr>
          <w:p w:rsidR="008768E3" w:rsidRDefault="005C3727" w:rsidP="00CA5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karyotip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</w:t>
            </w:r>
            <w:r w:rsidR="00CA50C8">
              <w:rPr>
                <w:rFonts w:ascii="Times New Roman" w:hAnsi="Times New Roman" w:cs="Times New Roman"/>
                <w:sz w:val="24"/>
                <w:szCs w:val="24"/>
              </w:rPr>
              <w:t xml:space="preserve">yi ya da kötü </w:t>
            </w:r>
            <w:proofErr w:type="spellStart"/>
            <w:r w:rsidR="00CA50C8">
              <w:rPr>
                <w:rFonts w:ascii="Times New Roman" w:hAnsi="Times New Roman" w:cs="Times New Roman"/>
                <w:sz w:val="24"/>
                <w:szCs w:val="24"/>
              </w:rPr>
              <w:t>prognostik</w:t>
            </w:r>
            <w:proofErr w:type="spellEnd"/>
            <w:r w:rsidR="00CA50C8">
              <w:rPr>
                <w:rFonts w:ascii="Times New Roman" w:hAnsi="Times New Roman" w:cs="Times New Roman"/>
                <w:sz w:val="24"/>
                <w:szCs w:val="24"/>
              </w:rPr>
              <w:t xml:space="preserve"> olarak sınıflandırılmamış </w:t>
            </w:r>
            <w:proofErr w:type="spellStart"/>
            <w:r w:rsidR="00CA50C8">
              <w:rPr>
                <w:rFonts w:ascii="Times New Roman" w:hAnsi="Times New Roman" w:cs="Times New Roman"/>
                <w:sz w:val="24"/>
                <w:szCs w:val="24"/>
              </w:rPr>
              <w:t>sitogenetik</w:t>
            </w:r>
            <w:proofErr w:type="spellEnd"/>
            <w:r w:rsidR="00CA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50C8">
              <w:rPr>
                <w:rFonts w:ascii="Times New Roman" w:hAnsi="Times New Roman" w:cs="Times New Roman"/>
                <w:sz w:val="24"/>
                <w:szCs w:val="24"/>
              </w:rPr>
              <w:t>anomaliler</w:t>
            </w:r>
            <w:proofErr w:type="gramEnd"/>
          </w:p>
        </w:tc>
      </w:tr>
      <w:tr w:rsidR="008768E3" w:rsidTr="008768E3">
        <w:tc>
          <w:tcPr>
            <w:tcW w:w="2972" w:type="dxa"/>
          </w:tcPr>
          <w:p w:rsidR="008768E3" w:rsidRPr="000E4170" w:rsidRDefault="00237038" w:rsidP="00313D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Kötü </w:t>
            </w:r>
            <w:proofErr w:type="spellStart"/>
            <w:r w:rsidRPr="000E4170">
              <w:rPr>
                <w:rFonts w:ascii="Times New Roman" w:hAnsi="Times New Roman" w:cs="Times New Roman"/>
                <w:b/>
                <w:sz w:val="24"/>
                <w:szCs w:val="24"/>
              </w:rPr>
              <w:t>prognozlu</w:t>
            </w:r>
            <w:proofErr w:type="spellEnd"/>
          </w:p>
        </w:tc>
        <w:tc>
          <w:tcPr>
            <w:tcW w:w="6090" w:type="dxa"/>
          </w:tcPr>
          <w:p w:rsidR="008768E3" w:rsidRDefault="008768E3" w:rsidP="0087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Monozomi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monozomi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veya 5q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delesyonu</w:t>
            </w:r>
            <w:proofErr w:type="spellEnd"/>
          </w:p>
        </w:tc>
      </w:tr>
      <w:tr w:rsidR="008768E3" w:rsidTr="008768E3">
        <w:tc>
          <w:tcPr>
            <w:tcW w:w="2972" w:type="dxa"/>
          </w:tcPr>
          <w:p w:rsidR="008768E3" w:rsidRPr="00327648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327648" w:rsidRDefault="008768E3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76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24DB" w:rsidRPr="00327648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proofErr w:type="spellEnd"/>
            <w:r w:rsidR="006624DB" w:rsidRPr="003276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327648">
              <w:rPr>
                <w:rFonts w:ascii="Times New Roman" w:hAnsi="Times New Roman" w:cs="Times New Roman"/>
                <w:sz w:val="24"/>
                <w:szCs w:val="24"/>
              </w:rPr>
              <w:t xml:space="preserve"> veya t(3;3)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8768E3" w:rsidRDefault="006624DB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(6;9)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8768E3" w:rsidRDefault="006624DB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(7;12)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8768E3" w:rsidRDefault="006624DB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(4;11)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6624DB" w:rsidRDefault="008768E3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(6;11)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(5;11)</w:t>
            </w:r>
            <w:r w:rsidR="0066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Pr="006624DB" w:rsidRDefault="006624DB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(10;11)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6624DB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karyotip</w:t>
            </w:r>
            <w:proofErr w:type="spellEnd"/>
            <w:r w:rsidR="00A5152F">
              <w:rPr>
                <w:rFonts w:ascii="Times New Roman" w:hAnsi="Times New Roman" w:cs="Times New Roman"/>
                <w:sz w:val="24"/>
                <w:szCs w:val="24"/>
              </w:rPr>
              <w:t xml:space="preserve"> (DSÖ tarafından tanımlanan tekrarlayıcı </w:t>
            </w:r>
            <w:proofErr w:type="spellStart"/>
            <w:r w:rsidR="00A5152F">
              <w:rPr>
                <w:rFonts w:ascii="Times New Roman" w:hAnsi="Times New Roman" w:cs="Times New Roman"/>
                <w:sz w:val="24"/>
                <w:szCs w:val="24"/>
              </w:rPr>
              <w:t>translokasyon</w:t>
            </w:r>
            <w:proofErr w:type="spellEnd"/>
            <w:r w:rsidR="00A5152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A5152F">
              <w:rPr>
                <w:rFonts w:ascii="Times New Roman" w:hAnsi="Times New Roman" w:cs="Times New Roman"/>
                <w:sz w:val="24"/>
                <w:szCs w:val="24"/>
              </w:rPr>
              <w:t>inversiyonların</w:t>
            </w:r>
            <w:proofErr w:type="spellEnd"/>
            <w:r w:rsidR="00A5152F">
              <w:rPr>
                <w:rFonts w:ascii="Times New Roman" w:hAnsi="Times New Roman" w:cs="Times New Roman"/>
                <w:sz w:val="24"/>
                <w:szCs w:val="24"/>
              </w:rPr>
              <w:t xml:space="preserve"> yokluğunda ü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ç veya daha fa</w:t>
            </w:r>
            <w:r w:rsidR="00A5152F">
              <w:rPr>
                <w:rFonts w:ascii="Times New Roman" w:hAnsi="Times New Roman" w:cs="Times New Roman"/>
                <w:sz w:val="24"/>
                <w:szCs w:val="24"/>
              </w:rPr>
              <w:t xml:space="preserve">zla </w:t>
            </w:r>
            <w:proofErr w:type="spellStart"/>
            <w:r w:rsidR="00A5152F">
              <w:rPr>
                <w:rFonts w:ascii="Times New Roman" w:hAnsi="Times New Roman" w:cs="Times New Roman"/>
                <w:sz w:val="24"/>
                <w:szCs w:val="24"/>
              </w:rPr>
              <w:t>kro</w:t>
            </w:r>
            <w:r w:rsidR="000E4170">
              <w:rPr>
                <w:rFonts w:ascii="Times New Roman" w:hAnsi="Times New Roman" w:cs="Times New Roman"/>
                <w:sz w:val="24"/>
                <w:szCs w:val="24"/>
              </w:rPr>
              <w:t>mozomal</w:t>
            </w:r>
            <w:proofErr w:type="spellEnd"/>
            <w:r w:rsidR="000E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4170">
              <w:rPr>
                <w:rFonts w:ascii="Times New Roman" w:hAnsi="Times New Roman" w:cs="Times New Roman"/>
                <w:sz w:val="24"/>
                <w:szCs w:val="24"/>
              </w:rPr>
              <w:t>anomali</w:t>
            </w:r>
            <w:proofErr w:type="gramEnd"/>
            <w:r w:rsidR="00A51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876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WT1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mut/</w:t>
            </w:r>
            <w:r w:rsidRPr="001F30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FLT3</w:t>
            </w:r>
            <w:r w:rsidR="006624DB">
              <w:rPr>
                <w:rFonts w:ascii="Times New Roman" w:hAnsi="Times New Roman" w:cs="Times New Roman"/>
                <w:sz w:val="24"/>
                <w:szCs w:val="24"/>
              </w:rPr>
              <w:t>-ITD</w:t>
            </w:r>
          </w:p>
        </w:tc>
      </w:tr>
      <w:tr w:rsidR="008768E3" w:rsidTr="008768E3">
        <w:tc>
          <w:tcPr>
            <w:tcW w:w="2972" w:type="dxa"/>
          </w:tcPr>
          <w:p w:rsidR="008768E3" w:rsidRDefault="008768E3" w:rsidP="00313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768E3" w:rsidRDefault="008768E3" w:rsidP="00662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(9;22</w:t>
            </w:r>
            <w:r w:rsidR="00327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6D9A" w:rsidRDefault="00716D9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BE" w:rsidRDefault="00716D9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Tanıda rutin incelemede </w:t>
      </w:r>
      <w:proofErr w:type="spellStart"/>
      <w:r w:rsidR="002F7EC0">
        <w:rPr>
          <w:rFonts w:ascii="Times New Roman" w:hAnsi="Times New Roman" w:cs="Times New Roman"/>
          <w:sz w:val="24"/>
          <w:szCs w:val="24"/>
        </w:rPr>
        <w:t>prognos</w:t>
      </w:r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öneme sahip genetik değişiklikler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sitogenetik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/FISH ile değerlendirilmelidir. Bunların içinde </w:t>
      </w:r>
      <w:r w:rsidRPr="00716D9A">
        <w:rPr>
          <w:rFonts w:ascii="Times New Roman" w:hAnsi="Times New Roman" w:cs="Times New Roman"/>
          <w:b/>
          <w:sz w:val="24"/>
          <w:szCs w:val="24"/>
        </w:rPr>
        <w:t xml:space="preserve">t(8;21), </w:t>
      </w:r>
      <w:proofErr w:type="spellStart"/>
      <w:r w:rsidRPr="00716D9A">
        <w:rPr>
          <w:rFonts w:ascii="Times New Roman" w:hAnsi="Times New Roman" w:cs="Times New Roman"/>
          <w:b/>
          <w:sz w:val="24"/>
          <w:szCs w:val="24"/>
        </w:rPr>
        <w:t>inv</w:t>
      </w:r>
      <w:proofErr w:type="spellEnd"/>
      <w:r w:rsidRPr="00716D9A">
        <w:rPr>
          <w:rFonts w:ascii="Times New Roman" w:hAnsi="Times New Roman" w:cs="Times New Roman"/>
          <w:b/>
          <w:sz w:val="24"/>
          <w:szCs w:val="24"/>
        </w:rPr>
        <w:t xml:space="preserve">(16), t(15;17) ve </w:t>
      </w:r>
      <w:r w:rsidR="00154290">
        <w:rPr>
          <w:rFonts w:ascii="Times New Roman" w:hAnsi="Times New Roman" w:cs="Times New Roman"/>
          <w:b/>
          <w:sz w:val="24"/>
          <w:szCs w:val="24"/>
        </w:rPr>
        <w:t>KMT2A (</w:t>
      </w:r>
      <w:r w:rsidRPr="00716D9A">
        <w:rPr>
          <w:rFonts w:ascii="Times New Roman" w:hAnsi="Times New Roman" w:cs="Times New Roman"/>
          <w:b/>
          <w:sz w:val="24"/>
          <w:szCs w:val="24"/>
        </w:rPr>
        <w:t>MLL</w:t>
      </w:r>
      <w:r w:rsidR="00154290">
        <w:rPr>
          <w:rFonts w:ascii="Times New Roman" w:hAnsi="Times New Roman" w:cs="Times New Roman"/>
          <w:b/>
          <w:sz w:val="24"/>
          <w:szCs w:val="24"/>
        </w:rPr>
        <w:t>)</w:t>
      </w:r>
      <w:r w:rsidRPr="00716D9A">
        <w:rPr>
          <w:rFonts w:ascii="Times New Roman" w:hAnsi="Times New Roman" w:cs="Times New Roman"/>
          <w:b/>
          <w:sz w:val="24"/>
          <w:szCs w:val="24"/>
        </w:rPr>
        <w:t xml:space="preserve"> yeniden düzenlenmeler</w:t>
      </w:r>
      <w:r w:rsidRPr="00327648">
        <w:rPr>
          <w:rFonts w:ascii="Times New Roman" w:hAnsi="Times New Roman" w:cs="Times New Roman"/>
          <w:b/>
          <w:sz w:val="24"/>
          <w:szCs w:val="24"/>
        </w:rPr>
        <w:t>i</w:t>
      </w:r>
      <w:r w:rsidR="00327648" w:rsidRPr="00327648">
        <w:rPr>
          <w:rFonts w:ascii="Times New Roman" w:hAnsi="Times New Roman" w:cs="Times New Roman"/>
          <w:b/>
          <w:sz w:val="24"/>
          <w:szCs w:val="24"/>
        </w:rPr>
        <w:t>ne</w:t>
      </w:r>
      <w:r w:rsidR="0032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mutlaka bakılması önerilir.</w:t>
      </w:r>
    </w:p>
    <w:p w:rsidR="008768E3" w:rsidRPr="001F5268" w:rsidRDefault="002F7EC0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5A" w:rsidRDefault="002F7EC0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Moleküler</w:t>
      </w:r>
      <w:r w:rsidR="00FD59BE">
        <w:rPr>
          <w:rFonts w:ascii="Times New Roman" w:hAnsi="Times New Roman" w:cs="Times New Roman"/>
          <w:b/>
          <w:sz w:val="24"/>
          <w:szCs w:val="24"/>
        </w:rPr>
        <w:t xml:space="preserve"> Genetik İncelemeler:</w:t>
      </w:r>
    </w:p>
    <w:p w:rsidR="00E11D0C" w:rsidRDefault="00006102" w:rsidP="00C65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Tanıda</w:t>
      </w:r>
      <w:r w:rsidR="00E80E2E">
        <w:rPr>
          <w:rFonts w:ascii="Times New Roman" w:hAnsi="Times New Roman" w:cs="Times New Roman"/>
          <w:sz w:val="24"/>
          <w:szCs w:val="24"/>
        </w:rPr>
        <w:t xml:space="preserve"> klinik olarak önemli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E2E">
        <w:rPr>
          <w:rFonts w:ascii="Times New Roman" w:hAnsi="Times New Roman" w:cs="Times New Roman"/>
          <w:sz w:val="24"/>
          <w:szCs w:val="24"/>
        </w:rPr>
        <w:t>ve hedefe yönelik tedavi uygulanması pota</w:t>
      </w:r>
      <w:r w:rsidR="006913F3">
        <w:rPr>
          <w:rFonts w:ascii="Times New Roman" w:hAnsi="Times New Roman" w:cs="Times New Roman"/>
          <w:sz w:val="24"/>
          <w:szCs w:val="24"/>
        </w:rPr>
        <w:t>n</w:t>
      </w:r>
      <w:r w:rsidR="00E80E2E">
        <w:rPr>
          <w:rFonts w:ascii="Times New Roman" w:hAnsi="Times New Roman" w:cs="Times New Roman"/>
          <w:sz w:val="24"/>
          <w:szCs w:val="24"/>
        </w:rPr>
        <w:t xml:space="preserve">siyeli taşıyan </w:t>
      </w:r>
      <w:r w:rsidRPr="00CB51DC">
        <w:rPr>
          <w:rFonts w:ascii="Times New Roman" w:hAnsi="Times New Roman" w:cs="Times New Roman"/>
          <w:b/>
          <w:i/>
          <w:sz w:val="24"/>
          <w:szCs w:val="24"/>
        </w:rPr>
        <w:t xml:space="preserve">NPM1, FLT3, WT1, </w:t>
      </w:r>
      <w:r w:rsidR="002A205A" w:rsidRPr="00CB51DC">
        <w:rPr>
          <w:rFonts w:ascii="Times New Roman" w:hAnsi="Times New Roman" w:cs="Times New Roman"/>
          <w:b/>
          <w:i/>
          <w:sz w:val="24"/>
          <w:szCs w:val="24"/>
        </w:rPr>
        <w:t>CEPBA</w:t>
      </w:r>
      <w:r w:rsidR="002A205A" w:rsidRPr="00CB51DC">
        <w:rPr>
          <w:rFonts w:ascii="Times New Roman" w:hAnsi="Times New Roman" w:cs="Times New Roman"/>
          <w:b/>
          <w:sz w:val="24"/>
          <w:szCs w:val="24"/>
        </w:rPr>
        <w:t xml:space="preserve"> çift mutasyonu</w:t>
      </w:r>
      <w:r w:rsidR="00E80E2E" w:rsidRPr="00CB51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51DC">
        <w:rPr>
          <w:rFonts w:ascii="Times New Roman" w:hAnsi="Times New Roman" w:cs="Times New Roman"/>
          <w:b/>
          <w:i/>
          <w:sz w:val="24"/>
          <w:szCs w:val="24"/>
        </w:rPr>
        <w:t>C-KIT</w:t>
      </w:r>
      <w:r w:rsidRPr="00CB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290" w:rsidRPr="00CB51D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E80E2E" w:rsidRPr="00CB51DC">
        <w:rPr>
          <w:rFonts w:ascii="Times New Roman" w:hAnsi="Times New Roman" w:cs="Times New Roman"/>
          <w:b/>
          <w:sz w:val="24"/>
          <w:szCs w:val="24"/>
        </w:rPr>
        <w:t xml:space="preserve">iyi ya da kötü </w:t>
      </w:r>
      <w:proofErr w:type="spellStart"/>
      <w:r w:rsidR="00E80E2E" w:rsidRPr="00CB51DC">
        <w:rPr>
          <w:rFonts w:ascii="Times New Roman" w:hAnsi="Times New Roman" w:cs="Times New Roman"/>
          <w:b/>
          <w:sz w:val="24"/>
          <w:szCs w:val="24"/>
        </w:rPr>
        <w:t>prognos</w:t>
      </w:r>
      <w:r w:rsidR="00154290" w:rsidRPr="00CB51DC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="00154290" w:rsidRPr="00CB51DC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E80E2E" w:rsidRPr="00CB51DC">
        <w:rPr>
          <w:rFonts w:ascii="Times New Roman" w:hAnsi="Times New Roman" w:cs="Times New Roman"/>
          <w:b/>
          <w:sz w:val="24"/>
          <w:szCs w:val="24"/>
        </w:rPr>
        <w:t xml:space="preserve">zelliği olan </w:t>
      </w:r>
      <w:proofErr w:type="gramStart"/>
      <w:r w:rsidR="00154290" w:rsidRPr="00CB51DC">
        <w:rPr>
          <w:rFonts w:ascii="Times New Roman" w:hAnsi="Times New Roman" w:cs="Times New Roman"/>
          <w:b/>
          <w:sz w:val="24"/>
          <w:szCs w:val="24"/>
        </w:rPr>
        <w:t>spesifik</w:t>
      </w:r>
      <w:proofErr w:type="gramEnd"/>
      <w:r w:rsidR="00154290" w:rsidRPr="00CB51DC">
        <w:rPr>
          <w:rFonts w:ascii="Times New Roman" w:hAnsi="Times New Roman" w:cs="Times New Roman"/>
          <w:b/>
          <w:sz w:val="24"/>
          <w:szCs w:val="24"/>
        </w:rPr>
        <w:t xml:space="preserve"> KMT2A (MLL) yeniden düzenlenmeleri</w:t>
      </w:r>
      <w:r w:rsidR="00154290" w:rsidRPr="0015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79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="00ED1779">
        <w:rPr>
          <w:rFonts w:ascii="Times New Roman" w:hAnsi="Times New Roman" w:cs="Times New Roman"/>
          <w:sz w:val="24"/>
          <w:szCs w:val="24"/>
        </w:rPr>
        <w:t xml:space="preserve"> standart incelemeler içinde yer almalıdır.</w:t>
      </w:r>
    </w:p>
    <w:p w:rsidR="000C1089" w:rsidRDefault="000C1089" w:rsidP="00C65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Karyotipin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olduğu </w:t>
      </w:r>
      <w:proofErr w:type="spellStart"/>
      <w:r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özellikle </w:t>
      </w:r>
      <w:r w:rsidRPr="000C1089">
        <w:rPr>
          <w:rFonts w:ascii="Times New Roman" w:hAnsi="Times New Roman" w:cs="Times New Roman"/>
          <w:i/>
          <w:sz w:val="24"/>
          <w:szCs w:val="24"/>
        </w:rPr>
        <w:t>NPM1</w:t>
      </w:r>
      <w:r w:rsidRPr="000C1089">
        <w:rPr>
          <w:rFonts w:ascii="Times New Roman" w:hAnsi="Times New Roman" w:cs="Times New Roman"/>
          <w:sz w:val="24"/>
          <w:szCs w:val="24"/>
        </w:rPr>
        <w:t xml:space="preserve"> ve </w:t>
      </w:r>
      <w:r w:rsidRPr="000C1089">
        <w:rPr>
          <w:rFonts w:ascii="Times New Roman" w:hAnsi="Times New Roman" w:cs="Times New Roman"/>
          <w:i/>
          <w:sz w:val="24"/>
          <w:szCs w:val="24"/>
        </w:rPr>
        <w:t>CEPBA</w:t>
      </w:r>
      <w:r w:rsidRPr="000C1089">
        <w:rPr>
          <w:rFonts w:ascii="Times New Roman" w:hAnsi="Times New Roman" w:cs="Times New Roman"/>
          <w:sz w:val="24"/>
          <w:szCs w:val="24"/>
        </w:rPr>
        <w:t xml:space="preserve"> çift mutasyonu</w:t>
      </w:r>
      <w:r w:rsidR="00405540">
        <w:rPr>
          <w:rFonts w:ascii="Times New Roman" w:hAnsi="Times New Roman" w:cs="Times New Roman"/>
          <w:sz w:val="24"/>
          <w:szCs w:val="24"/>
        </w:rPr>
        <w:t xml:space="preserve"> iyi </w:t>
      </w:r>
      <w:proofErr w:type="spellStart"/>
      <w:r w:rsidR="00405540">
        <w:rPr>
          <w:rFonts w:ascii="Times New Roman" w:hAnsi="Times New Roman" w:cs="Times New Roman"/>
          <w:sz w:val="24"/>
          <w:szCs w:val="24"/>
        </w:rPr>
        <w:t>prognos</w:t>
      </w:r>
      <w:r w:rsidR="00DC3772">
        <w:rPr>
          <w:rFonts w:ascii="Times New Roman" w:hAnsi="Times New Roman" w:cs="Times New Roman"/>
          <w:sz w:val="24"/>
          <w:szCs w:val="24"/>
        </w:rPr>
        <w:t>t</w:t>
      </w:r>
      <w:r w:rsidR="00405540">
        <w:rPr>
          <w:rFonts w:ascii="Times New Roman" w:hAnsi="Times New Roman" w:cs="Times New Roman"/>
          <w:sz w:val="24"/>
          <w:szCs w:val="24"/>
        </w:rPr>
        <w:t>i</w:t>
      </w:r>
      <w:r w:rsidR="00DC377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C3772">
        <w:rPr>
          <w:rFonts w:ascii="Times New Roman" w:hAnsi="Times New Roman" w:cs="Times New Roman"/>
          <w:sz w:val="24"/>
          <w:szCs w:val="24"/>
        </w:rPr>
        <w:t xml:space="preserve"> olduğu için önemlidir. Buna karşın </w:t>
      </w:r>
      <w:proofErr w:type="spellStart"/>
      <w:r w:rsidR="00DC3772">
        <w:rPr>
          <w:rFonts w:ascii="Times New Roman" w:hAnsi="Times New Roman" w:cs="Times New Roman"/>
          <w:sz w:val="24"/>
          <w:szCs w:val="24"/>
        </w:rPr>
        <w:t>mutant</w:t>
      </w:r>
      <w:proofErr w:type="spellEnd"/>
      <w:r w:rsidR="00DC3772" w:rsidRPr="00DC3772">
        <w:rPr>
          <w:rFonts w:ascii="Times New Roman" w:hAnsi="Times New Roman" w:cs="Times New Roman"/>
          <w:i/>
          <w:sz w:val="24"/>
          <w:szCs w:val="24"/>
        </w:rPr>
        <w:t xml:space="preserve"> FLT</w:t>
      </w:r>
      <w:r w:rsidR="00DC3772">
        <w:rPr>
          <w:rFonts w:ascii="Times New Roman" w:hAnsi="Times New Roman" w:cs="Times New Roman"/>
          <w:sz w:val="24"/>
          <w:szCs w:val="24"/>
        </w:rPr>
        <w:t xml:space="preserve">3-ITD’nin </w:t>
      </w:r>
      <w:r w:rsidR="003E7A59">
        <w:rPr>
          <w:rFonts w:ascii="Times New Roman" w:hAnsi="Times New Roman" w:cs="Times New Roman"/>
          <w:sz w:val="24"/>
          <w:szCs w:val="24"/>
        </w:rPr>
        <w:t>vahşi</w:t>
      </w:r>
      <w:r w:rsidR="00DC3772">
        <w:rPr>
          <w:rFonts w:ascii="Times New Roman" w:hAnsi="Times New Roman" w:cs="Times New Roman"/>
          <w:sz w:val="24"/>
          <w:szCs w:val="24"/>
        </w:rPr>
        <w:t>-t</w:t>
      </w:r>
      <w:r w:rsidR="003E7A59">
        <w:rPr>
          <w:rFonts w:ascii="Times New Roman" w:hAnsi="Times New Roman" w:cs="Times New Roman"/>
          <w:sz w:val="24"/>
          <w:szCs w:val="24"/>
        </w:rPr>
        <w:t>ip</w:t>
      </w:r>
      <w:r w:rsidR="00DC3772">
        <w:rPr>
          <w:rFonts w:ascii="Times New Roman" w:hAnsi="Times New Roman" w:cs="Times New Roman"/>
          <w:sz w:val="24"/>
          <w:szCs w:val="24"/>
        </w:rPr>
        <w:t xml:space="preserve"> oran</w:t>
      </w:r>
      <w:r w:rsidR="001F0C37">
        <w:rPr>
          <w:rFonts w:ascii="Times New Roman" w:hAnsi="Times New Roman" w:cs="Times New Roman"/>
          <w:sz w:val="24"/>
          <w:szCs w:val="24"/>
        </w:rPr>
        <w:t>ının</w:t>
      </w:r>
      <w:r w:rsidR="00DC3772">
        <w:rPr>
          <w:rFonts w:ascii="Times New Roman" w:hAnsi="Times New Roman" w:cs="Times New Roman"/>
          <w:sz w:val="24"/>
          <w:szCs w:val="24"/>
        </w:rPr>
        <w:t xml:space="preserve"> (ITD </w:t>
      </w:r>
      <w:proofErr w:type="spellStart"/>
      <w:r w:rsidR="00DC3772">
        <w:rPr>
          <w:rFonts w:ascii="Times New Roman" w:hAnsi="Times New Roman" w:cs="Times New Roman"/>
          <w:sz w:val="24"/>
          <w:szCs w:val="24"/>
        </w:rPr>
        <w:t>allelik</w:t>
      </w:r>
      <w:proofErr w:type="spellEnd"/>
      <w:r w:rsidR="00DC3772">
        <w:rPr>
          <w:rFonts w:ascii="Times New Roman" w:hAnsi="Times New Roman" w:cs="Times New Roman"/>
          <w:sz w:val="24"/>
          <w:szCs w:val="24"/>
        </w:rPr>
        <w:t xml:space="preserve"> oran) &gt;0,4 </w:t>
      </w:r>
      <w:r w:rsidR="001F0C37">
        <w:rPr>
          <w:rFonts w:ascii="Times New Roman" w:hAnsi="Times New Roman" w:cs="Times New Roman"/>
          <w:sz w:val="24"/>
          <w:szCs w:val="24"/>
        </w:rPr>
        <w:t xml:space="preserve">olması kötü </w:t>
      </w:r>
      <w:proofErr w:type="spellStart"/>
      <w:r w:rsidR="001F0C37">
        <w:rPr>
          <w:rFonts w:ascii="Times New Roman" w:hAnsi="Times New Roman" w:cs="Times New Roman"/>
          <w:sz w:val="24"/>
          <w:szCs w:val="24"/>
        </w:rPr>
        <w:t>prognostiktir</w:t>
      </w:r>
      <w:proofErr w:type="spellEnd"/>
      <w:r w:rsidR="001F0C37">
        <w:rPr>
          <w:rFonts w:ascii="Times New Roman" w:hAnsi="Times New Roman" w:cs="Times New Roman"/>
          <w:sz w:val="24"/>
          <w:szCs w:val="24"/>
        </w:rPr>
        <w:t>.</w:t>
      </w:r>
    </w:p>
    <w:p w:rsidR="00E11D0C" w:rsidRDefault="00E11D0C" w:rsidP="00C65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89" w:rsidRPr="003E7A59" w:rsidRDefault="00E11D0C" w:rsidP="00C65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02">
        <w:rPr>
          <w:rFonts w:ascii="Times New Roman" w:hAnsi="Times New Roman" w:cs="Times New Roman"/>
          <w:i/>
          <w:sz w:val="24"/>
          <w:szCs w:val="24"/>
        </w:rPr>
        <w:t>PTPN11, NF-1, N-RAS, K-RAS</w:t>
      </w:r>
      <w:r>
        <w:rPr>
          <w:rFonts w:ascii="Times New Roman" w:hAnsi="Times New Roman" w:cs="Times New Roman"/>
          <w:sz w:val="24"/>
          <w:szCs w:val="24"/>
        </w:rPr>
        <w:t xml:space="preserve"> gibi RAS-RAF-ERK sinyal aktarım yolağında yer alan genlerdeki mutasyonlar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AML’li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çocuklarda %5-21 arasında görülür (daha çok CBF-</w:t>
      </w:r>
      <w:proofErr w:type="spellStart"/>
      <w:r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MLL yeniden düzenlenmesinin olduğu küçük çocuklarda).</w:t>
      </w:r>
    </w:p>
    <w:p w:rsidR="004C61EA" w:rsidRDefault="00944ECC" w:rsidP="00C65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51DC" w:rsidRDefault="00CB51DC" w:rsidP="00C6557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1DC">
        <w:rPr>
          <w:rFonts w:ascii="Times New Roman" w:hAnsi="Times New Roman" w:cs="Times New Roman"/>
          <w:sz w:val="24"/>
          <w:szCs w:val="24"/>
        </w:rPr>
        <w:t xml:space="preserve">Tanıda hastalardan </w:t>
      </w:r>
      <w:proofErr w:type="spellStart"/>
      <w:r w:rsidRPr="00CB51DC">
        <w:rPr>
          <w:rFonts w:ascii="Times New Roman" w:hAnsi="Times New Roman" w:cs="Times New Roman"/>
          <w:sz w:val="24"/>
          <w:szCs w:val="24"/>
        </w:rPr>
        <w:t>blastların</w:t>
      </w:r>
      <w:proofErr w:type="spellEnd"/>
      <w:r w:rsidRPr="00CB51DC">
        <w:rPr>
          <w:rFonts w:ascii="Times New Roman" w:hAnsi="Times New Roman" w:cs="Times New Roman"/>
          <w:sz w:val="24"/>
          <w:szCs w:val="24"/>
        </w:rPr>
        <w:t>, DNA ve RNA örneklerinin uygun koşullarda saklanması daha sonra ek ve ileri çalışmaların yapılmasına olanak v</w:t>
      </w:r>
      <w:r w:rsidR="00AB65F8">
        <w:rPr>
          <w:rFonts w:ascii="Times New Roman" w:hAnsi="Times New Roman" w:cs="Times New Roman"/>
          <w:sz w:val="24"/>
          <w:szCs w:val="24"/>
        </w:rPr>
        <w:t>ereceği için önerilmektedir.</w:t>
      </w:r>
      <w:r w:rsidRPr="00CB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DC">
        <w:rPr>
          <w:rFonts w:ascii="Times New Roman" w:hAnsi="Times New Roman" w:cs="Times New Roman"/>
          <w:sz w:val="24"/>
          <w:szCs w:val="24"/>
        </w:rPr>
        <w:lastRenderedPageBreak/>
        <w:t>Bukkal</w:t>
      </w:r>
      <w:proofErr w:type="spellEnd"/>
      <w:r w:rsidRPr="00CB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DC">
        <w:rPr>
          <w:rFonts w:ascii="Times New Roman" w:hAnsi="Times New Roman" w:cs="Times New Roman"/>
          <w:sz w:val="24"/>
          <w:szCs w:val="24"/>
        </w:rPr>
        <w:t>sürüntü</w:t>
      </w:r>
      <w:proofErr w:type="spellEnd"/>
      <w:r w:rsidRPr="00CB51DC">
        <w:rPr>
          <w:rFonts w:ascii="Times New Roman" w:hAnsi="Times New Roman" w:cs="Times New Roman"/>
          <w:sz w:val="24"/>
          <w:szCs w:val="24"/>
        </w:rPr>
        <w:t xml:space="preserve"> örneğinin saklanması </w:t>
      </w:r>
      <w:proofErr w:type="spellStart"/>
      <w:r w:rsidRPr="00CB51DC">
        <w:rPr>
          <w:rFonts w:ascii="Times New Roman" w:hAnsi="Times New Roman" w:cs="Times New Roman"/>
          <w:sz w:val="24"/>
          <w:szCs w:val="24"/>
        </w:rPr>
        <w:t>germline</w:t>
      </w:r>
      <w:proofErr w:type="spellEnd"/>
      <w:r w:rsidRPr="00CB51DC">
        <w:rPr>
          <w:rFonts w:ascii="Times New Roman" w:hAnsi="Times New Roman" w:cs="Times New Roman"/>
          <w:sz w:val="24"/>
          <w:szCs w:val="24"/>
        </w:rPr>
        <w:t xml:space="preserve"> ve somatik genetik değişikliklerin ayrımında kullanılabilir.</w:t>
      </w:r>
    </w:p>
    <w:p w:rsidR="00DA1852" w:rsidRDefault="00DA1852" w:rsidP="00DA18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52" w:rsidRPr="00DA1852" w:rsidRDefault="00DA1852" w:rsidP="00DA18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52">
        <w:rPr>
          <w:rFonts w:ascii="Times New Roman" w:hAnsi="Times New Roman" w:cs="Times New Roman"/>
          <w:b/>
          <w:sz w:val="24"/>
          <w:szCs w:val="24"/>
        </w:rPr>
        <w:t xml:space="preserve">Tablo 5. DSÖ 2016 Akut </w:t>
      </w:r>
      <w:proofErr w:type="spellStart"/>
      <w:r w:rsidRPr="00DA1852">
        <w:rPr>
          <w:rFonts w:ascii="Times New Roman" w:hAnsi="Times New Roman" w:cs="Times New Roman"/>
          <w:b/>
          <w:sz w:val="24"/>
          <w:szCs w:val="24"/>
        </w:rPr>
        <w:t>Miyeloid</w:t>
      </w:r>
      <w:proofErr w:type="spellEnd"/>
      <w:r w:rsidRPr="00DA1852">
        <w:rPr>
          <w:rFonts w:ascii="Times New Roman" w:hAnsi="Times New Roman" w:cs="Times New Roman"/>
          <w:b/>
          <w:sz w:val="24"/>
          <w:szCs w:val="24"/>
        </w:rPr>
        <w:t xml:space="preserve"> Lösemi Sınıflaması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Tekrarlayıcı genetik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anomalilerle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birlikte olan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lösemiler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(8;21)(q22;q22); </w:t>
            </w:r>
            <w:r w:rsidRPr="002A6A52">
              <w:rPr>
                <w:rFonts w:ascii="Times New Roman" w:hAnsi="Times New Roman" w:cs="Times New Roman"/>
                <w:i/>
                <w:sz w:val="24"/>
                <w:szCs w:val="24"/>
              </w:rPr>
              <w:t>RUNX1-RUNX1T1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ile olan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inv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(16)(p13.1q22) veya t(16;16)(p13.1;q22); </w:t>
            </w:r>
            <w:r w:rsidRPr="002A6A52">
              <w:rPr>
                <w:rFonts w:ascii="Times New Roman" w:hAnsi="Times New Roman" w:cs="Times New Roman"/>
                <w:i/>
                <w:sz w:val="24"/>
                <w:szCs w:val="24"/>
              </w:rPr>
              <w:t>CBFB-MYH11’in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(15;17)(q22;q12); </w:t>
            </w:r>
            <w:r w:rsidRPr="002A6A52">
              <w:rPr>
                <w:rFonts w:ascii="Times New Roman" w:hAnsi="Times New Roman" w:cs="Times New Roman"/>
                <w:i/>
                <w:sz w:val="24"/>
                <w:szCs w:val="24"/>
              </w:rPr>
              <w:t>PML-</w:t>
            </w:r>
            <w:proofErr w:type="spellStart"/>
            <w:r w:rsidRPr="002A6A52">
              <w:rPr>
                <w:rFonts w:ascii="Times New Roman" w:hAnsi="Times New Roman" w:cs="Times New Roman"/>
                <w:i/>
                <w:sz w:val="24"/>
                <w:szCs w:val="24"/>
              </w:rPr>
              <w:t>RARA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’nın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C18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="003C1852">
              <w:rPr>
                <w:rFonts w:ascii="Times New Roman" w:hAnsi="Times New Roman" w:cs="Times New Roman"/>
                <w:sz w:val="24"/>
                <w:szCs w:val="24"/>
              </w:rPr>
              <w:t xml:space="preserve">(9;11)(p22;q23); </w:t>
            </w:r>
            <w:r w:rsidR="003C1852" w:rsidRPr="002A6A52">
              <w:rPr>
                <w:rFonts w:ascii="Times New Roman" w:hAnsi="Times New Roman" w:cs="Times New Roman"/>
                <w:i/>
                <w:sz w:val="24"/>
                <w:szCs w:val="24"/>
              </w:rPr>
              <w:t>MLLT3-KMT2A</w:t>
            </w:r>
            <w:r w:rsidR="003C1852">
              <w:rPr>
                <w:rFonts w:ascii="Times New Roman" w:hAnsi="Times New Roman" w:cs="Times New Roman"/>
                <w:sz w:val="24"/>
                <w:szCs w:val="24"/>
              </w:rPr>
              <w:t>’nI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n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(6;9)(p23;q34); </w:t>
            </w:r>
            <w:r w:rsidRPr="00FB389F">
              <w:rPr>
                <w:rFonts w:ascii="Times New Roman" w:hAnsi="Times New Roman" w:cs="Times New Roman"/>
                <w:i/>
                <w:sz w:val="24"/>
                <w:szCs w:val="24"/>
              </w:rPr>
              <w:t>DEK-NUP214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’ün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inv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(3)(q21</w:t>
            </w:r>
            <w:r w:rsidR="005A60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q26.2) veya t(3;3)(q21</w:t>
            </w:r>
            <w:r w:rsidR="00FB3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;q26.2); </w:t>
            </w:r>
            <w:r w:rsidR="003636FC" w:rsidRPr="00363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GATA2, </w:t>
            </w:r>
            <w:proofErr w:type="spellStart"/>
            <w:r w:rsidR="003636FC" w:rsidRPr="003636FC">
              <w:rPr>
                <w:rFonts w:ascii="Times New Roman" w:hAnsi="Times New Roman" w:cs="Times New Roman"/>
                <w:i/>
                <w:sz w:val="24"/>
                <w:szCs w:val="24"/>
              </w:rPr>
              <w:t>MECOM</w:t>
            </w:r>
            <w:r w:rsidR="003636FC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(1;22)(p13;q13); </w:t>
            </w:r>
            <w:r w:rsidRPr="003636FC">
              <w:rPr>
                <w:rFonts w:ascii="Times New Roman" w:hAnsi="Times New Roman" w:cs="Times New Roman"/>
                <w:i/>
                <w:sz w:val="24"/>
                <w:szCs w:val="24"/>
              </w:rPr>
              <w:t>RBM15-MKL1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ile olan AML (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megakaryoblastik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1D6" w:rsidRPr="00D662C1" w:rsidTr="002C3380">
        <w:tc>
          <w:tcPr>
            <w:tcW w:w="9062" w:type="dxa"/>
          </w:tcPr>
          <w:p w:rsidR="005041D6" w:rsidRPr="00865D06" w:rsidRDefault="005041D6" w:rsidP="002C338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65D06">
              <w:rPr>
                <w:rFonts w:ascii="Times New Roman" w:hAnsi="Times New Roman" w:cs="Times New Roman"/>
                <w:i/>
              </w:rPr>
              <w:t>Provisional</w:t>
            </w:r>
            <w:proofErr w:type="spellEnd"/>
            <w:r w:rsidRPr="00865D0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5D06">
              <w:rPr>
                <w:rFonts w:ascii="Times New Roman" w:hAnsi="Times New Roman" w:cs="Times New Roman"/>
                <w:i/>
              </w:rPr>
              <w:t>entity</w:t>
            </w:r>
            <w:proofErr w:type="spellEnd"/>
            <w:r w:rsidRPr="00865D06">
              <w:rPr>
                <w:rFonts w:ascii="Times New Roman" w:hAnsi="Times New Roman" w:cs="Times New Roman"/>
                <w:i/>
              </w:rPr>
              <w:t>: BCR-ABL1’in olduğu AML</w:t>
            </w:r>
          </w:p>
        </w:tc>
      </w:tr>
      <w:tr w:rsidR="002B5BA4" w:rsidRPr="00D662C1" w:rsidTr="002C3380">
        <w:tc>
          <w:tcPr>
            <w:tcW w:w="9062" w:type="dxa"/>
          </w:tcPr>
          <w:p w:rsidR="002B5BA4" w:rsidRDefault="002B5BA4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A4">
              <w:rPr>
                <w:rFonts w:ascii="Times New Roman" w:hAnsi="Times New Roman" w:cs="Times New Roman"/>
                <w:i/>
                <w:sz w:val="24"/>
                <w:szCs w:val="24"/>
              </w:rPr>
              <w:t>NPM1</w:t>
            </w:r>
            <w:r w:rsidR="00865D06">
              <w:rPr>
                <w:rFonts w:ascii="Times New Roman" w:hAnsi="Times New Roman" w:cs="Times New Roman"/>
                <w:sz w:val="24"/>
                <w:szCs w:val="24"/>
              </w:rPr>
              <w:t xml:space="preserve"> mut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5D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yonlu AML</w:t>
            </w:r>
          </w:p>
        </w:tc>
      </w:tr>
      <w:tr w:rsidR="002B5BA4" w:rsidRPr="00D662C1" w:rsidTr="002C3380">
        <w:tc>
          <w:tcPr>
            <w:tcW w:w="9062" w:type="dxa"/>
          </w:tcPr>
          <w:p w:rsidR="002B5BA4" w:rsidRDefault="002B5BA4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A4">
              <w:rPr>
                <w:rFonts w:ascii="Times New Roman" w:hAnsi="Times New Roman" w:cs="Times New Roman"/>
                <w:i/>
                <w:sz w:val="24"/>
                <w:szCs w:val="24"/>
              </w:rPr>
              <w:t>CEBPA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biallelik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mutasyonun olduğu AML</w:t>
            </w:r>
          </w:p>
        </w:tc>
      </w:tr>
      <w:tr w:rsidR="00865D06" w:rsidRPr="00D662C1" w:rsidTr="002C3380">
        <w:tc>
          <w:tcPr>
            <w:tcW w:w="9062" w:type="dxa"/>
          </w:tcPr>
          <w:p w:rsidR="00865D06" w:rsidRPr="002B5BA4" w:rsidRDefault="00865D06" w:rsidP="00865D0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5D06">
              <w:rPr>
                <w:rFonts w:ascii="Times New Roman" w:hAnsi="Times New Roman" w:cs="Times New Roman"/>
                <w:i/>
              </w:rPr>
              <w:t>Provisional</w:t>
            </w:r>
            <w:proofErr w:type="spellEnd"/>
            <w:r w:rsidRPr="00865D0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5D06">
              <w:rPr>
                <w:rFonts w:ascii="Times New Roman" w:hAnsi="Times New Roman" w:cs="Times New Roman"/>
                <w:i/>
              </w:rPr>
              <w:t>entity</w:t>
            </w:r>
            <w:proofErr w:type="spellEnd"/>
            <w:r w:rsidRPr="00865D06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RUNX1 mutasyonlu</w:t>
            </w:r>
            <w:r w:rsidRPr="00865D06">
              <w:rPr>
                <w:rFonts w:ascii="Times New Roman" w:hAnsi="Times New Roman" w:cs="Times New Roman"/>
                <w:i/>
              </w:rPr>
              <w:t xml:space="preserve">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Miyelodisplazi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ilişkili değişikliklerin olduğu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Tedavi ilişkili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neoplazmlar</w:t>
            </w:r>
            <w:proofErr w:type="spellEnd"/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41">
              <w:rPr>
                <w:rFonts w:ascii="Times New Roman" w:hAnsi="Times New Roman" w:cs="Times New Roman"/>
                <w:sz w:val="24"/>
                <w:szCs w:val="24"/>
              </w:rPr>
              <w:t>Başka türlü belirtilmeyen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akut lösemiler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Minimal farklılaşmanın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Olgunlaşmanın olmadığı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Olgunlaşmanın olduğu AML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miyelomonositik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monoblastik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monositik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5A602E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1852"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Saf </w:t>
            </w:r>
            <w:proofErr w:type="spellStart"/>
            <w:r w:rsidR="00DA1852" w:rsidRPr="00D662C1">
              <w:rPr>
                <w:rFonts w:ascii="Times New Roman" w:hAnsi="Times New Roman" w:cs="Times New Roman"/>
                <w:sz w:val="24"/>
                <w:szCs w:val="24"/>
              </w:rPr>
              <w:t>eritroid</w:t>
            </w:r>
            <w:proofErr w:type="spellEnd"/>
            <w:r w:rsidR="00DA1852"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megakaryoblastik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bazofilik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Miyelofibrozun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olduğu akut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panmiyelozis</w:t>
            </w:r>
            <w:proofErr w:type="spellEnd"/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sarkom</w:t>
            </w:r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5A602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ile ilişkili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proliferasyonlar</w:t>
            </w:r>
            <w:proofErr w:type="spellEnd"/>
          </w:p>
        </w:tc>
      </w:tr>
      <w:tr w:rsidR="005A602E" w:rsidRPr="00D662C1" w:rsidTr="002C3380">
        <w:tc>
          <w:tcPr>
            <w:tcW w:w="9062" w:type="dxa"/>
          </w:tcPr>
          <w:p w:rsidR="005A602E" w:rsidRPr="00D662C1" w:rsidRDefault="005A602E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miyelop</w:t>
            </w: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oez</w:t>
            </w:r>
            <w:proofErr w:type="spellEnd"/>
          </w:p>
        </w:tc>
      </w:tr>
      <w:tr w:rsidR="00DA1852" w:rsidRPr="00D662C1" w:rsidTr="002C3380">
        <w:tc>
          <w:tcPr>
            <w:tcW w:w="9062" w:type="dxa"/>
          </w:tcPr>
          <w:p w:rsidR="00DA1852" w:rsidRPr="00D662C1" w:rsidRDefault="00DA1852" w:rsidP="002C338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ile ilişkili </w:t>
            </w:r>
            <w:proofErr w:type="spellStart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>miyeloid</w:t>
            </w:r>
            <w:proofErr w:type="spellEnd"/>
            <w:r w:rsidRPr="00D662C1">
              <w:rPr>
                <w:rFonts w:ascii="Times New Roman" w:hAnsi="Times New Roman" w:cs="Times New Roman"/>
                <w:sz w:val="24"/>
                <w:szCs w:val="24"/>
              </w:rPr>
              <w:t xml:space="preserve"> lösemi</w:t>
            </w:r>
          </w:p>
        </w:tc>
      </w:tr>
    </w:tbl>
    <w:p w:rsidR="008E2B9C" w:rsidRDefault="008E2B9C" w:rsidP="00C65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B9C" w:rsidRPr="008E2B9C" w:rsidRDefault="008E2B9C" w:rsidP="00CF4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B9C">
        <w:rPr>
          <w:rFonts w:ascii="Times New Roman" w:hAnsi="Times New Roman" w:cs="Times New Roman"/>
          <w:b/>
          <w:sz w:val="24"/>
          <w:szCs w:val="24"/>
        </w:rPr>
        <w:t>AML’de</w:t>
      </w:r>
      <w:proofErr w:type="spellEnd"/>
      <w:r w:rsidRPr="008E2B9C">
        <w:rPr>
          <w:rFonts w:ascii="Times New Roman" w:hAnsi="Times New Roman" w:cs="Times New Roman"/>
          <w:b/>
          <w:sz w:val="24"/>
          <w:szCs w:val="24"/>
        </w:rPr>
        <w:t xml:space="preserve"> tedavi yanıtının değerlendirilmesi</w:t>
      </w:r>
    </w:p>
    <w:p w:rsidR="00CB51DC" w:rsidRDefault="008E2B9C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Birçok tedavi protokolünde morfolojik olarak ilk tedavi bloğuna yanıt tedavinin 15. veya 28. gününde ve ikinci indüksiyon bloğundan sonra değerlendirilir. </w:t>
      </w:r>
    </w:p>
    <w:p w:rsidR="007D0DE6" w:rsidRDefault="007D0DE6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olarak </w:t>
      </w:r>
      <w:r w:rsidR="009B3E17" w:rsidRPr="00FB40BA">
        <w:rPr>
          <w:rFonts w:ascii="Times New Roman" w:hAnsi="Times New Roman" w:cs="Times New Roman"/>
          <w:sz w:val="24"/>
          <w:szCs w:val="24"/>
        </w:rPr>
        <w:t>olanak varsa</w:t>
      </w:r>
      <w:r w:rsidR="009B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minimal kalıntı hastalık (MKH)</w:t>
      </w:r>
      <w:r w:rsidR="00FB40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immunfenotipleme</w:t>
      </w:r>
      <w:proofErr w:type="spellEnd"/>
      <w:r w:rsidR="00986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moleküler değişikliklerin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izlemi ve</w:t>
      </w:r>
      <w:r w:rsidR="00986ED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gen ekspresyon düzeyleri ile çalışılabilir. </w:t>
      </w:r>
    </w:p>
    <w:p w:rsidR="00C6557A" w:rsidRDefault="00977725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Tanıda saptanan füzyon genlerinin RT</w:t>
      </w:r>
      <w:r w:rsidR="00BB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982">
        <w:rPr>
          <w:rFonts w:ascii="Times New Roman" w:hAnsi="Times New Roman" w:cs="Times New Roman"/>
          <w:sz w:val="24"/>
          <w:szCs w:val="24"/>
        </w:rPr>
        <w:t xml:space="preserve">kantitatif </w:t>
      </w:r>
      <w:r w:rsidR="00FB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PCR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10</w:t>
      </w:r>
      <w:r w:rsidRPr="0097772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duyarlılığa kadar</w:t>
      </w:r>
      <w:r w:rsidR="00224D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yüksek özgünlük ile çalışılabilmesi MKH izlemini sağlayabilmektedir. Bu arada </w:t>
      </w:r>
      <w:r w:rsidRPr="00977725">
        <w:rPr>
          <w:rFonts w:ascii="Times New Roman" w:hAnsi="Times New Roman" w:cs="Times New Roman"/>
          <w:i/>
          <w:sz w:val="24"/>
          <w:szCs w:val="24"/>
        </w:rPr>
        <w:t>RUNX1(AML1)-RUNX1T1 (ETO)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Pr="00977725">
        <w:rPr>
          <w:rFonts w:ascii="Times New Roman" w:hAnsi="Times New Roman" w:cs="Times New Roman"/>
          <w:i/>
          <w:sz w:val="24"/>
          <w:szCs w:val="24"/>
        </w:rPr>
        <w:t>CBFB-MYH11</w:t>
      </w:r>
      <w:r>
        <w:rPr>
          <w:rFonts w:ascii="Times New Roman" w:hAnsi="Times New Roman" w:cs="Times New Roman"/>
          <w:sz w:val="24"/>
          <w:szCs w:val="24"/>
        </w:rPr>
        <w:t xml:space="preserve"> uzun süreli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remisyonda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olgularda PCR ile dü</w:t>
      </w:r>
      <w:r w:rsidR="00A34883">
        <w:rPr>
          <w:rFonts w:ascii="Times New Roman" w:hAnsi="Times New Roman" w:cs="Times New Roman"/>
          <w:sz w:val="24"/>
          <w:szCs w:val="24"/>
        </w:rPr>
        <w:t xml:space="preserve">şük düzeyde pozitif saptanabilmektedir bu nedenle moleküler </w:t>
      </w:r>
      <w:proofErr w:type="spellStart"/>
      <w:r w:rsidR="00A34883">
        <w:rPr>
          <w:rFonts w:ascii="Times New Roman" w:hAnsi="Times New Roman" w:cs="Times New Roman"/>
          <w:sz w:val="24"/>
          <w:szCs w:val="24"/>
        </w:rPr>
        <w:t>relaps</w:t>
      </w:r>
      <w:proofErr w:type="spellEnd"/>
      <w:r w:rsidR="00A34883">
        <w:rPr>
          <w:rFonts w:ascii="Times New Roman" w:hAnsi="Times New Roman" w:cs="Times New Roman"/>
          <w:sz w:val="24"/>
          <w:szCs w:val="24"/>
        </w:rPr>
        <w:t xml:space="preserve"> değerlendirmesi yapılırken </w:t>
      </w:r>
    </w:p>
    <w:p w:rsidR="00977725" w:rsidRDefault="00A34883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PCR ile artan füzyon protein miktarı göz önüne alınmalıdır.</w:t>
      </w:r>
    </w:p>
    <w:p w:rsidR="00EB1519" w:rsidRDefault="00C6557A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7A">
        <w:rPr>
          <w:rFonts w:ascii="Times New Roman" w:hAnsi="Times New Roman" w:cs="Times New Roman"/>
          <w:sz w:val="24"/>
          <w:szCs w:val="24"/>
        </w:rPr>
        <w:t>MKH</w:t>
      </w:r>
      <w:r>
        <w:rPr>
          <w:rFonts w:ascii="Times New Roman" w:hAnsi="Times New Roman" w:cs="Times New Roman"/>
          <w:sz w:val="24"/>
          <w:szCs w:val="24"/>
        </w:rPr>
        <w:t xml:space="preserve"> çalışma protokolleri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uygunsa riske göre tedavi kollarının seçiminde kullanılmalıdır.</w:t>
      </w:r>
    </w:p>
    <w:p w:rsidR="00AC3038" w:rsidRDefault="00AC3038" w:rsidP="00CF4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38" w:rsidRPr="00AC3038" w:rsidRDefault="00AC3038" w:rsidP="00CF4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38">
        <w:rPr>
          <w:rFonts w:ascii="Times New Roman" w:hAnsi="Times New Roman" w:cs="Times New Roman"/>
          <w:b/>
          <w:sz w:val="24"/>
          <w:szCs w:val="24"/>
        </w:rPr>
        <w:t>Tablo</w:t>
      </w:r>
      <w:r w:rsidR="007B535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C30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3038">
        <w:rPr>
          <w:rFonts w:ascii="Times New Roman" w:hAnsi="Times New Roman" w:cs="Times New Roman"/>
          <w:b/>
          <w:sz w:val="24"/>
          <w:szCs w:val="24"/>
        </w:rPr>
        <w:t>AML’de</w:t>
      </w:r>
      <w:proofErr w:type="spellEnd"/>
      <w:r w:rsidRPr="00AC3038">
        <w:rPr>
          <w:rFonts w:ascii="Times New Roman" w:hAnsi="Times New Roman" w:cs="Times New Roman"/>
          <w:b/>
          <w:sz w:val="24"/>
          <w:szCs w:val="24"/>
        </w:rPr>
        <w:t xml:space="preserve"> Tedaviye Yanıt Kriterleri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B43FA" w:rsidTr="00F4082C">
        <w:tc>
          <w:tcPr>
            <w:tcW w:w="3681" w:type="dxa"/>
          </w:tcPr>
          <w:p w:rsidR="00BB43FA" w:rsidRPr="00BB43FA" w:rsidRDefault="00BB43FA" w:rsidP="00BB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5381" w:type="dxa"/>
          </w:tcPr>
          <w:p w:rsidR="00BB43FA" w:rsidRPr="00BB43FA" w:rsidRDefault="00BB43FA" w:rsidP="00BB43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A">
              <w:rPr>
                <w:rFonts w:ascii="Times New Roman" w:hAnsi="Times New Roman" w:cs="Times New Roman"/>
                <w:b/>
                <w:sz w:val="24"/>
                <w:szCs w:val="24"/>
              </w:rPr>
              <w:t>Tanımlama</w:t>
            </w:r>
          </w:p>
        </w:tc>
      </w:tr>
      <w:tr w:rsidR="00F4082C" w:rsidTr="00F4082C">
        <w:tc>
          <w:tcPr>
            <w:tcW w:w="3681" w:type="dxa"/>
          </w:tcPr>
          <w:p w:rsidR="00F4082C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(TR)</w:t>
            </w:r>
          </w:p>
        </w:tc>
        <w:tc>
          <w:tcPr>
            <w:tcW w:w="5381" w:type="dxa"/>
          </w:tcPr>
          <w:p w:rsidR="00F4082C" w:rsidRPr="00E14CCD" w:rsidRDefault="00E14CCD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Kİ’nde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&lt;%5;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çubuklu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blastlar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yok;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ekstramedüller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 yok; MNS &gt;1000/µL;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&gt;80.000/µL; eritrosit transfüzyonu gerekmiyor</w:t>
            </w:r>
          </w:p>
        </w:tc>
      </w:tr>
      <w:tr w:rsidR="00F4082C" w:rsidTr="00F4082C">
        <w:tc>
          <w:tcPr>
            <w:tcW w:w="3681" w:type="dxa"/>
          </w:tcPr>
          <w:p w:rsidR="00F4082C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Kısmi toparlanma ile tam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remisyon</w:t>
            </w:r>
            <w:proofErr w:type="spellEnd"/>
          </w:p>
          <w:p w:rsidR="00BB43FA" w:rsidRDefault="00BB43FA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F4082C" w:rsidRDefault="00E14CCD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TR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ancak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nötropeni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(&lt;1000/µL)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trombositopeni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(&lt;80.000/µL) var</w:t>
            </w:r>
          </w:p>
        </w:tc>
      </w:tr>
      <w:tr w:rsidR="00F4082C" w:rsidTr="00F4082C">
        <w:tc>
          <w:tcPr>
            <w:tcW w:w="3681" w:type="dxa"/>
          </w:tcPr>
          <w:p w:rsidR="00F4082C" w:rsidRPr="00BB43FA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A">
              <w:rPr>
                <w:rFonts w:ascii="Times New Roman" w:hAnsi="Times New Roman" w:cs="Times New Roman"/>
                <w:b/>
                <w:sz w:val="24"/>
                <w:szCs w:val="24"/>
              </w:rPr>
              <w:t>Tedavi başarısızlığı</w:t>
            </w:r>
          </w:p>
        </w:tc>
        <w:tc>
          <w:tcPr>
            <w:tcW w:w="5381" w:type="dxa"/>
          </w:tcPr>
          <w:p w:rsidR="00F4082C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2C" w:rsidTr="00F4082C">
        <w:tc>
          <w:tcPr>
            <w:tcW w:w="3681" w:type="dxa"/>
          </w:tcPr>
          <w:p w:rsidR="00F4082C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Dirençli hastalık</w:t>
            </w:r>
          </w:p>
        </w:tc>
        <w:tc>
          <w:tcPr>
            <w:tcW w:w="5381" w:type="dxa"/>
          </w:tcPr>
          <w:p w:rsidR="00F4082C" w:rsidRDefault="00BB43FA" w:rsidP="00B555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TRk’ye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ulaşamama; sadece ilk tedaviyi tamamladıktan sonra ≥7 gün yaşayan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ve/veya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Kİ’de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lösemik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blastları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saptanan hastaları kapsar (42. günden önce ve yoğunlaştırma bloklarının bitimindeki değerlendirmede</w:t>
            </w:r>
            <w:r w:rsidR="00B55505">
              <w:rPr>
                <w:rFonts w:ascii="Times New Roman" w:hAnsi="Times New Roman" w:cs="Times New Roman"/>
                <w:sz w:val="24"/>
                <w:szCs w:val="24"/>
              </w:rPr>
              <w:t xml:space="preserve"> Kİ incelemesi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82C" w:rsidTr="00F4082C">
        <w:tc>
          <w:tcPr>
            <w:tcW w:w="3681" w:type="dxa"/>
          </w:tcPr>
          <w:p w:rsidR="00F4082C" w:rsidRPr="00BB43FA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Erken ölüm</w:t>
            </w:r>
          </w:p>
        </w:tc>
        <w:tc>
          <w:tcPr>
            <w:tcW w:w="5381" w:type="dxa"/>
          </w:tcPr>
          <w:p w:rsidR="00F4082C" w:rsidRDefault="00F4082C" w:rsidP="00C6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5" w:rsidTr="00F4082C">
        <w:tc>
          <w:tcPr>
            <w:tcW w:w="36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Aplazide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ölüm</w:t>
            </w:r>
          </w:p>
        </w:tc>
        <w:tc>
          <w:tcPr>
            <w:tcW w:w="53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tedavinin tamamlanmasından ≥7 gün sonra 42. günden önce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sitopenideyken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ölümden önceki 7 gün içinde değerlendirilmiş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hipoplastik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Kİ ile ölüm  </w:t>
            </w:r>
          </w:p>
        </w:tc>
      </w:tr>
      <w:tr w:rsidR="00F474B5" w:rsidTr="00F4082C">
        <w:tc>
          <w:tcPr>
            <w:tcW w:w="36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Nedeni belirsiz ölüm</w:t>
            </w:r>
          </w:p>
        </w:tc>
        <w:tc>
          <w:tcPr>
            <w:tcW w:w="5381" w:type="dxa"/>
          </w:tcPr>
          <w:p w:rsidR="00F474B5" w:rsidRDefault="00902E99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tedavinin tamamlanmasından önce veya &lt;7 gün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içinde;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ilk tedavinin tamamlanmasından  ≥7 gün sonra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yokken, ancak Kİ incelemesi</w:t>
            </w:r>
            <w:r w:rsidR="00224DE9">
              <w:rPr>
                <w:rFonts w:ascii="Times New Roman" w:hAnsi="Times New Roman" w:cs="Times New Roman"/>
                <w:sz w:val="24"/>
                <w:szCs w:val="24"/>
              </w:rPr>
              <w:t xml:space="preserve"> yapılamadan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ölüm</w:t>
            </w:r>
            <w:r w:rsidR="00895965">
              <w:rPr>
                <w:rFonts w:ascii="Times New Roman" w:hAnsi="Times New Roman" w:cs="Times New Roman"/>
                <w:sz w:val="24"/>
                <w:szCs w:val="24"/>
              </w:rPr>
              <w:t xml:space="preserve"> (&lt;42 gün)</w:t>
            </w:r>
          </w:p>
        </w:tc>
      </w:tr>
      <w:tr w:rsidR="00F474B5" w:rsidTr="00F4082C">
        <w:tc>
          <w:tcPr>
            <w:tcW w:w="36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9">
              <w:rPr>
                <w:rFonts w:ascii="Times New Roman" w:hAnsi="Times New Roman" w:cs="Times New Roman"/>
                <w:sz w:val="24"/>
                <w:szCs w:val="24"/>
              </w:rPr>
              <w:t>Erken kanama/</w:t>
            </w:r>
            <w:proofErr w:type="spellStart"/>
            <w:r w:rsidRPr="00224DE9">
              <w:rPr>
                <w:rFonts w:ascii="Times New Roman" w:hAnsi="Times New Roman" w:cs="Times New Roman"/>
                <w:sz w:val="24"/>
                <w:szCs w:val="24"/>
              </w:rPr>
              <w:t>lökostaz</w:t>
            </w:r>
            <w:proofErr w:type="spellEnd"/>
          </w:p>
        </w:tc>
        <w:tc>
          <w:tcPr>
            <w:tcW w:w="53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5" w:rsidTr="00F4082C">
        <w:tc>
          <w:tcPr>
            <w:tcW w:w="36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Relaps</w:t>
            </w:r>
            <w:proofErr w:type="spellEnd"/>
          </w:p>
        </w:tc>
        <w:tc>
          <w:tcPr>
            <w:tcW w:w="5381" w:type="dxa"/>
          </w:tcPr>
          <w:p w:rsidR="00F474B5" w:rsidRDefault="00F474B5" w:rsidP="00F47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Kemik iliğinde </w:t>
            </w:r>
            <w:r w:rsidR="0022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≥%5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kanda tekrar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blastların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görülmesi;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ekstramedüller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 gelişimi</w:t>
            </w:r>
          </w:p>
        </w:tc>
      </w:tr>
    </w:tbl>
    <w:p w:rsidR="00FB40BA" w:rsidRDefault="00FB40BA" w:rsidP="00FB4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BA" w:rsidRDefault="00FB40BA" w:rsidP="00FB4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B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prognozu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belirleyen en önemli faktörler ilk tedavi bloğuna alınan yanıt ve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sitogenetik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>/moleküler genetik bulgulardır. Bu iki bağımsız faktör risk grubu sınıflamasında temel etmenleri oluşturmaktadır.</w:t>
      </w:r>
    </w:p>
    <w:p w:rsidR="00F97920" w:rsidRDefault="00F97920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81" w:rsidRDefault="00152981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81">
        <w:rPr>
          <w:rFonts w:ascii="Times New Roman" w:hAnsi="Times New Roman" w:cs="Times New Roman"/>
          <w:b/>
          <w:sz w:val="24"/>
          <w:szCs w:val="24"/>
        </w:rPr>
        <w:t>AML Tedavisi</w:t>
      </w:r>
    </w:p>
    <w:p w:rsidR="00D91E91" w:rsidRDefault="00BB0F6C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6C">
        <w:rPr>
          <w:rFonts w:ascii="Times New Roman" w:hAnsi="Times New Roman" w:cs="Times New Roman"/>
          <w:sz w:val="24"/>
          <w:szCs w:val="24"/>
        </w:rPr>
        <w:t xml:space="preserve">Tedavide amaç </w:t>
      </w:r>
      <w:proofErr w:type="spellStart"/>
      <w:r w:rsidRPr="00BB0F6C">
        <w:rPr>
          <w:rFonts w:ascii="Times New Roman" w:hAnsi="Times New Roman" w:cs="Times New Roman"/>
          <w:sz w:val="24"/>
          <w:szCs w:val="24"/>
        </w:rPr>
        <w:t>lösemik</w:t>
      </w:r>
      <w:proofErr w:type="spellEnd"/>
      <w:r w:rsidRPr="00BB0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F6C">
        <w:rPr>
          <w:rFonts w:ascii="Times New Roman" w:hAnsi="Times New Roman" w:cs="Times New Roman"/>
          <w:sz w:val="24"/>
          <w:szCs w:val="24"/>
        </w:rPr>
        <w:t>klonu</w:t>
      </w:r>
      <w:proofErr w:type="gramEnd"/>
      <w:r w:rsidRPr="00BB0F6C">
        <w:rPr>
          <w:rFonts w:ascii="Times New Roman" w:hAnsi="Times New Roman" w:cs="Times New Roman"/>
          <w:sz w:val="24"/>
          <w:szCs w:val="24"/>
        </w:rPr>
        <w:t xml:space="preserve"> ortadan kaldırırken mümkün olduğunca erken ve geç yan etkilerden kaçınmaktır.</w:t>
      </w:r>
    </w:p>
    <w:p w:rsidR="00152981" w:rsidRDefault="00FD2AA3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AML olgularının kontrollü klinik çalışmalar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tedavi edilmesi önerilir. </w:t>
      </w:r>
      <w:r w:rsidR="00D91E91">
        <w:rPr>
          <w:rFonts w:ascii="Times New Roman" w:hAnsi="Times New Roman" w:cs="Times New Roman"/>
          <w:sz w:val="24"/>
          <w:szCs w:val="24"/>
        </w:rPr>
        <w:t xml:space="preserve">AML tanısı konar konmaz ağırlıklı olarak </w:t>
      </w:r>
      <w:proofErr w:type="spellStart"/>
      <w:r w:rsidR="00D91E91">
        <w:rPr>
          <w:rFonts w:ascii="Times New Roman" w:hAnsi="Times New Roman" w:cs="Times New Roman"/>
          <w:sz w:val="24"/>
          <w:szCs w:val="24"/>
        </w:rPr>
        <w:t>antrasiklin</w:t>
      </w:r>
      <w:proofErr w:type="spellEnd"/>
      <w:r w:rsidR="00D91E9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3148F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="0063148F">
        <w:rPr>
          <w:rFonts w:ascii="Times New Roman" w:hAnsi="Times New Roman" w:cs="Times New Roman"/>
          <w:sz w:val="24"/>
          <w:szCs w:val="24"/>
        </w:rPr>
        <w:t xml:space="preserve"> </w:t>
      </w:r>
      <w:r w:rsidR="00D91E91">
        <w:rPr>
          <w:rFonts w:ascii="Times New Roman" w:hAnsi="Times New Roman" w:cs="Times New Roman"/>
          <w:sz w:val="24"/>
          <w:szCs w:val="24"/>
        </w:rPr>
        <w:t xml:space="preserve">temelli çoklu </w:t>
      </w:r>
      <w:proofErr w:type="gramStart"/>
      <w:r w:rsidR="00D91E91">
        <w:rPr>
          <w:rFonts w:ascii="Times New Roman" w:hAnsi="Times New Roman" w:cs="Times New Roman"/>
          <w:sz w:val="24"/>
          <w:szCs w:val="24"/>
        </w:rPr>
        <w:t>kemoterapiye  başlanmalıdır</w:t>
      </w:r>
      <w:proofErr w:type="gramEnd"/>
      <w:r w:rsidR="00D91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48F" w:rsidRPr="009068F7">
        <w:rPr>
          <w:rFonts w:ascii="Times New Roman" w:hAnsi="Times New Roman" w:cs="Times New Roman"/>
          <w:sz w:val="24"/>
          <w:szCs w:val="24"/>
        </w:rPr>
        <w:t>Bu yoğun tedavi en az 4 veya 5 tedavi bloğundan oluşmalıdır.</w:t>
      </w:r>
    </w:p>
    <w:p w:rsidR="00D91E91" w:rsidRDefault="001E09E9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Hiperlökositoz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APL</w:t>
      </w:r>
      <w:r w:rsidR="0090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erken kanam</w:t>
      </w:r>
      <w:r w:rsidR="00FD2A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riski nedeniyle acil </w:t>
      </w:r>
      <w:r w:rsidR="0063148F">
        <w:rPr>
          <w:rFonts w:ascii="Times New Roman" w:hAnsi="Times New Roman" w:cs="Times New Roman"/>
          <w:sz w:val="24"/>
          <w:szCs w:val="24"/>
        </w:rPr>
        <w:t>durum olarak kabul edilmelidir.</w:t>
      </w:r>
    </w:p>
    <w:p w:rsidR="009068F7" w:rsidRDefault="009068F7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48F" w:rsidRDefault="0063148F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8F">
        <w:rPr>
          <w:rFonts w:ascii="Times New Roman" w:hAnsi="Times New Roman" w:cs="Times New Roman"/>
          <w:b/>
          <w:sz w:val="24"/>
          <w:szCs w:val="24"/>
        </w:rPr>
        <w:t>İndüksiyon Tedavisi</w:t>
      </w:r>
      <w:r w:rsidR="00A403B8">
        <w:rPr>
          <w:rFonts w:ascii="Times New Roman" w:hAnsi="Times New Roman" w:cs="Times New Roman"/>
          <w:b/>
          <w:sz w:val="24"/>
          <w:szCs w:val="24"/>
        </w:rPr>
        <w:t>:</w:t>
      </w:r>
    </w:p>
    <w:p w:rsidR="0063148F" w:rsidRDefault="0063148F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8F">
        <w:rPr>
          <w:rFonts w:ascii="Times New Roman" w:hAnsi="Times New Roman" w:cs="Times New Roman"/>
          <w:sz w:val="24"/>
          <w:szCs w:val="24"/>
        </w:rPr>
        <w:t xml:space="preserve">Bir veya 2 indüksiyon bloğu verilmektedir. Standart olarak 3 gün </w:t>
      </w:r>
      <w:proofErr w:type="spellStart"/>
      <w:r w:rsidRPr="0063148F">
        <w:rPr>
          <w:rFonts w:ascii="Times New Roman" w:hAnsi="Times New Roman" w:cs="Times New Roman"/>
          <w:sz w:val="24"/>
          <w:szCs w:val="24"/>
        </w:rPr>
        <w:t>antrasiklin</w:t>
      </w:r>
      <w:proofErr w:type="spellEnd"/>
      <w:r w:rsidRPr="0063148F">
        <w:rPr>
          <w:rFonts w:ascii="Times New Roman" w:hAnsi="Times New Roman" w:cs="Times New Roman"/>
          <w:sz w:val="24"/>
          <w:szCs w:val="24"/>
        </w:rPr>
        <w:t xml:space="preserve"> ve 7-10 </w:t>
      </w:r>
      <w:r>
        <w:rPr>
          <w:rFonts w:ascii="Times New Roman" w:hAnsi="Times New Roman" w:cs="Times New Roman"/>
          <w:sz w:val="24"/>
          <w:szCs w:val="24"/>
        </w:rPr>
        <w:t xml:space="preserve">gün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uygulanmaktadır.</w:t>
      </w:r>
    </w:p>
    <w:p w:rsidR="0063148F" w:rsidRDefault="0063148F" w:rsidP="00123C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3148F">
        <w:rPr>
          <w:rFonts w:ascii="Times New Roman" w:hAnsi="Times New Roman" w:cs="Times New Roman"/>
          <w:b/>
          <w:i/>
          <w:sz w:val="24"/>
          <w:szCs w:val="24"/>
        </w:rPr>
        <w:lastRenderedPageBreak/>
        <w:t>Antrasiklinler</w:t>
      </w:r>
      <w:proofErr w:type="spellEnd"/>
    </w:p>
    <w:p w:rsidR="0063148F" w:rsidRPr="0063148F" w:rsidRDefault="0063148F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Akut ve geç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kardiyotoksisite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doz ile ilişkilidir ve &gt;300 mg/m</w:t>
      </w:r>
      <w:r w:rsidRPr="006314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dozlar anlamlı geç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kardiyotoksisiteye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olabilir.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Lipozomal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antrasiklinler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kardiyak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azaltılabilir. </w:t>
      </w:r>
      <w:proofErr w:type="spellStart"/>
      <w:r w:rsidRPr="00B16D6E">
        <w:rPr>
          <w:rFonts w:ascii="Times New Roman" w:hAnsi="Times New Roman" w:cs="Times New Roman"/>
          <w:sz w:val="24"/>
          <w:szCs w:val="24"/>
        </w:rPr>
        <w:t>Antrasiklin</w:t>
      </w:r>
      <w:proofErr w:type="spellEnd"/>
      <w:r w:rsidRPr="00B16D6E">
        <w:rPr>
          <w:rFonts w:ascii="Times New Roman" w:hAnsi="Times New Roman" w:cs="Times New Roman"/>
          <w:sz w:val="24"/>
          <w:szCs w:val="24"/>
        </w:rPr>
        <w:t xml:space="preserve"> uygulaması sırasında </w:t>
      </w:r>
      <w:proofErr w:type="spellStart"/>
      <w:r w:rsidRPr="00B16D6E">
        <w:rPr>
          <w:rFonts w:ascii="Times New Roman" w:hAnsi="Times New Roman" w:cs="Times New Roman"/>
          <w:sz w:val="24"/>
          <w:szCs w:val="24"/>
        </w:rPr>
        <w:t>deksrazo</w:t>
      </w:r>
      <w:r w:rsidR="00436842">
        <w:rPr>
          <w:rFonts w:ascii="Times New Roman" w:hAnsi="Times New Roman" w:cs="Times New Roman"/>
          <w:sz w:val="24"/>
          <w:szCs w:val="24"/>
        </w:rPr>
        <w:t>ks</w:t>
      </w:r>
      <w:r w:rsidRPr="00B16D6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16D6E">
        <w:rPr>
          <w:rFonts w:ascii="Times New Roman" w:hAnsi="Times New Roman" w:cs="Times New Roman"/>
          <w:sz w:val="24"/>
          <w:szCs w:val="24"/>
        </w:rPr>
        <w:t xml:space="preserve"> ile kalbin korunması da değerlendirilebilir.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B8" w:rsidRDefault="00A403B8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D4" w:rsidRDefault="00A832D4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3B8" w:rsidRDefault="00FF71F3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Remisyon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Sonrasında </w:t>
      </w:r>
      <w:r w:rsidR="00A403B8">
        <w:rPr>
          <w:rFonts w:ascii="Times New Roman" w:hAnsi="Times New Roman" w:cs="Times New Roman"/>
          <w:b/>
          <w:sz w:val="24"/>
          <w:szCs w:val="24"/>
        </w:rPr>
        <w:t>Konsolidasyon/</w:t>
      </w:r>
      <w:r w:rsidR="00B83B16">
        <w:rPr>
          <w:rFonts w:ascii="Times New Roman" w:hAnsi="Times New Roman" w:cs="Times New Roman"/>
          <w:b/>
          <w:sz w:val="24"/>
          <w:szCs w:val="24"/>
        </w:rPr>
        <w:t>Y</w:t>
      </w:r>
      <w:r w:rsidR="00A403B8">
        <w:rPr>
          <w:rFonts w:ascii="Times New Roman" w:hAnsi="Times New Roman" w:cs="Times New Roman"/>
          <w:b/>
          <w:sz w:val="24"/>
          <w:szCs w:val="24"/>
        </w:rPr>
        <w:t>oğunlaştırma Tedavisi:</w:t>
      </w:r>
    </w:p>
    <w:p w:rsidR="00A403B8" w:rsidRDefault="00123CF5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F5">
        <w:rPr>
          <w:rFonts w:ascii="Times New Roman" w:hAnsi="Times New Roman" w:cs="Times New Roman"/>
          <w:sz w:val="24"/>
          <w:szCs w:val="24"/>
        </w:rPr>
        <w:t>Çocukluk çağı AML protokollerinin çoğunda indü</w:t>
      </w:r>
      <w:r w:rsidR="00EF6328">
        <w:rPr>
          <w:rFonts w:ascii="Times New Roman" w:hAnsi="Times New Roman" w:cs="Times New Roman"/>
          <w:sz w:val="24"/>
          <w:szCs w:val="24"/>
        </w:rPr>
        <w:t>ksi</w:t>
      </w:r>
      <w:r w:rsidR="00B16D6E">
        <w:rPr>
          <w:rFonts w:ascii="Times New Roman" w:hAnsi="Times New Roman" w:cs="Times New Roman"/>
          <w:sz w:val="24"/>
          <w:szCs w:val="24"/>
        </w:rPr>
        <w:t>y</w:t>
      </w:r>
      <w:r w:rsidR="00EF6328">
        <w:rPr>
          <w:rFonts w:ascii="Times New Roman" w:hAnsi="Times New Roman" w:cs="Times New Roman"/>
          <w:sz w:val="24"/>
          <w:szCs w:val="24"/>
        </w:rPr>
        <w:t xml:space="preserve">on tedavisinden sonra </w:t>
      </w:r>
      <w:r w:rsidR="00F279BE">
        <w:rPr>
          <w:rFonts w:ascii="Times New Roman" w:hAnsi="Times New Roman" w:cs="Times New Roman"/>
          <w:sz w:val="24"/>
          <w:szCs w:val="24"/>
        </w:rPr>
        <w:t>çapraz direnç oluşturmayacak ilaç kombinasyonlarını içeren 2 veya 3</w:t>
      </w:r>
      <w:r w:rsidR="00F279BE" w:rsidRPr="00123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CF5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123CF5">
        <w:rPr>
          <w:rFonts w:ascii="Times New Roman" w:hAnsi="Times New Roman" w:cs="Times New Roman"/>
          <w:sz w:val="24"/>
          <w:szCs w:val="24"/>
        </w:rPr>
        <w:t xml:space="preserve"> bloğu konsolidasyon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sürdürülmesi amacıyla</w:t>
      </w:r>
      <w:r w:rsidRPr="00123CF5">
        <w:rPr>
          <w:rFonts w:ascii="Times New Roman" w:hAnsi="Times New Roman" w:cs="Times New Roman"/>
          <w:sz w:val="24"/>
          <w:szCs w:val="24"/>
        </w:rPr>
        <w:t xml:space="preserve"> verilmektedir.</w:t>
      </w:r>
    </w:p>
    <w:p w:rsidR="007118BF" w:rsidRDefault="007118BF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4E" w:rsidRDefault="00F0757F" w:rsidP="00123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7F">
        <w:rPr>
          <w:rFonts w:ascii="Times New Roman" w:hAnsi="Times New Roman" w:cs="Times New Roman"/>
          <w:b/>
          <w:sz w:val="24"/>
          <w:szCs w:val="24"/>
        </w:rPr>
        <w:t xml:space="preserve">İdame Tedavisi: </w:t>
      </w:r>
      <w:proofErr w:type="spellStart"/>
      <w:r w:rsidRPr="00F0757F">
        <w:rPr>
          <w:rFonts w:ascii="Times New Roman" w:hAnsi="Times New Roman" w:cs="Times New Roman"/>
          <w:sz w:val="24"/>
          <w:szCs w:val="24"/>
        </w:rPr>
        <w:t>AML’de</w:t>
      </w:r>
      <w:proofErr w:type="spellEnd"/>
      <w:r w:rsidRPr="00F0757F">
        <w:rPr>
          <w:rFonts w:ascii="Times New Roman" w:hAnsi="Times New Roman" w:cs="Times New Roman"/>
          <w:sz w:val="24"/>
          <w:szCs w:val="24"/>
        </w:rPr>
        <w:t xml:space="preserve"> APL dışında genel olarak idame tedavisini</w:t>
      </w:r>
      <w:r>
        <w:rPr>
          <w:rFonts w:ascii="Times New Roman" w:hAnsi="Times New Roman" w:cs="Times New Roman"/>
          <w:sz w:val="24"/>
          <w:szCs w:val="24"/>
        </w:rPr>
        <w:t>n etkili olduğu gösteril</w:t>
      </w:r>
      <w:r w:rsidRPr="00F0757F">
        <w:rPr>
          <w:rFonts w:ascii="Times New Roman" w:hAnsi="Times New Roman" w:cs="Times New Roman"/>
          <w:sz w:val="24"/>
          <w:szCs w:val="24"/>
        </w:rPr>
        <w:t>memiştir. A</w:t>
      </w:r>
      <w:r>
        <w:rPr>
          <w:rFonts w:ascii="Times New Roman" w:hAnsi="Times New Roman" w:cs="Times New Roman"/>
          <w:sz w:val="24"/>
          <w:szCs w:val="24"/>
        </w:rPr>
        <w:t>ncak A</w:t>
      </w:r>
      <w:r w:rsidRPr="00F0757F">
        <w:rPr>
          <w:rFonts w:ascii="Times New Roman" w:hAnsi="Times New Roman" w:cs="Times New Roman"/>
          <w:sz w:val="24"/>
          <w:szCs w:val="24"/>
        </w:rPr>
        <w:t>ML BFM protokolünde</w:t>
      </w:r>
      <w:r w:rsidR="007118BF">
        <w:rPr>
          <w:rFonts w:ascii="Times New Roman" w:hAnsi="Times New Roman" w:cs="Times New Roman"/>
          <w:sz w:val="24"/>
          <w:szCs w:val="24"/>
        </w:rPr>
        <w:t xml:space="preserve"> halen</w:t>
      </w:r>
      <w:r w:rsidRPr="00F0757F">
        <w:rPr>
          <w:rFonts w:ascii="Times New Roman" w:hAnsi="Times New Roman" w:cs="Times New Roman"/>
          <w:sz w:val="24"/>
          <w:szCs w:val="24"/>
        </w:rPr>
        <w:t xml:space="preserve"> bir yıllık idame </w:t>
      </w:r>
      <w:proofErr w:type="gramStart"/>
      <w:r w:rsidRPr="00F0757F">
        <w:rPr>
          <w:rFonts w:ascii="Times New Roman" w:hAnsi="Times New Roman" w:cs="Times New Roman"/>
          <w:sz w:val="24"/>
          <w:szCs w:val="24"/>
        </w:rPr>
        <w:t>kemoterapisine</w:t>
      </w:r>
      <w:proofErr w:type="gramEnd"/>
      <w:r w:rsidRPr="00F0757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57F">
        <w:rPr>
          <w:rFonts w:ascii="Times New Roman" w:hAnsi="Times New Roman" w:cs="Times New Roman"/>
          <w:sz w:val="24"/>
          <w:szCs w:val="24"/>
        </w:rPr>
        <w:t>am edilmesi önerilmektedir.</w:t>
      </w:r>
    </w:p>
    <w:p w:rsidR="007118BF" w:rsidRPr="00F0757F" w:rsidRDefault="007118BF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16" w:rsidRPr="006B6916" w:rsidRDefault="006B6916" w:rsidP="00123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916">
        <w:rPr>
          <w:rFonts w:ascii="Times New Roman" w:hAnsi="Times New Roman" w:cs="Times New Roman"/>
          <w:b/>
          <w:sz w:val="24"/>
          <w:szCs w:val="24"/>
        </w:rPr>
        <w:t>Hematopoetik</w:t>
      </w:r>
      <w:proofErr w:type="spellEnd"/>
      <w:r w:rsidRPr="006B6916">
        <w:rPr>
          <w:rFonts w:ascii="Times New Roman" w:hAnsi="Times New Roman" w:cs="Times New Roman"/>
          <w:b/>
          <w:sz w:val="24"/>
          <w:szCs w:val="24"/>
        </w:rPr>
        <w:t xml:space="preserve"> Kök Hücre Nakli</w:t>
      </w:r>
    </w:p>
    <w:p w:rsidR="006B6916" w:rsidRDefault="006B691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Otolog</w:t>
      </w:r>
      <w:proofErr w:type="spellEnd"/>
      <w:r w:rsidR="000F5BC2" w:rsidRPr="000F5BC2">
        <w:rPr>
          <w:rFonts w:ascii="Times New Roman" w:hAnsi="Times New Roman" w:cs="Times New Roman"/>
          <w:b/>
          <w:sz w:val="24"/>
          <w:szCs w:val="24"/>
        </w:rPr>
        <w:t xml:space="preserve"> HKHN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6916">
        <w:rPr>
          <w:rFonts w:ascii="Times New Roman" w:hAnsi="Times New Roman" w:cs="Times New Roman"/>
          <w:sz w:val="24"/>
          <w:szCs w:val="24"/>
        </w:rPr>
        <w:t xml:space="preserve">Konsolidasyonda </w:t>
      </w:r>
      <w:proofErr w:type="spellStart"/>
      <w:r w:rsidRPr="006B6916">
        <w:rPr>
          <w:rFonts w:ascii="Times New Roman" w:hAnsi="Times New Roman" w:cs="Times New Roman"/>
          <w:sz w:val="24"/>
          <w:szCs w:val="24"/>
        </w:rPr>
        <w:t>nonmiyeloablatif</w:t>
      </w:r>
      <w:proofErr w:type="spellEnd"/>
      <w:r w:rsidRPr="006B6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916">
        <w:rPr>
          <w:rFonts w:ascii="Times New Roman" w:hAnsi="Times New Roman" w:cs="Times New Roman"/>
          <w:sz w:val="24"/>
          <w:szCs w:val="24"/>
        </w:rPr>
        <w:t>kemoterapiye</w:t>
      </w:r>
      <w:proofErr w:type="gramEnd"/>
      <w:r w:rsidRPr="006B6916">
        <w:rPr>
          <w:rFonts w:ascii="Times New Roman" w:hAnsi="Times New Roman" w:cs="Times New Roman"/>
          <w:sz w:val="24"/>
          <w:szCs w:val="24"/>
        </w:rPr>
        <w:t xml:space="preserve"> üstünlüğü gösterilmediği ve </w:t>
      </w:r>
      <w:proofErr w:type="spellStart"/>
      <w:r w:rsidRPr="006B6916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6B6916">
        <w:rPr>
          <w:rFonts w:ascii="Times New Roman" w:hAnsi="Times New Roman" w:cs="Times New Roman"/>
          <w:sz w:val="24"/>
          <w:szCs w:val="24"/>
        </w:rPr>
        <w:t xml:space="preserve"> nedeniyle TR1’de önerilmemektedir.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916">
        <w:rPr>
          <w:rFonts w:ascii="Times New Roman" w:hAnsi="Times New Roman" w:cs="Times New Roman"/>
          <w:sz w:val="24"/>
          <w:szCs w:val="24"/>
        </w:rPr>
        <w:t>MKH’nin</w:t>
      </w:r>
      <w:proofErr w:type="spellEnd"/>
      <w:r w:rsidRPr="006B6916">
        <w:rPr>
          <w:rFonts w:ascii="Times New Roman" w:hAnsi="Times New Roman" w:cs="Times New Roman"/>
          <w:sz w:val="24"/>
          <w:szCs w:val="24"/>
        </w:rPr>
        <w:t xml:space="preserve"> saptanmadığı </w:t>
      </w:r>
      <w:proofErr w:type="spellStart"/>
      <w:r w:rsidRPr="006B6916">
        <w:rPr>
          <w:rFonts w:ascii="Times New Roman" w:hAnsi="Times New Roman" w:cs="Times New Roman"/>
          <w:sz w:val="24"/>
          <w:szCs w:val="24"/>
        </w:rPr>
        <w:t>relaps</w:t>
      </w:r>
      <w:proofErr w:type="spellEnd"/>
      <w:r w:rsidRPr="006B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916">
        <w:rPr>
          <w:rFonts w:ascii="Times New Roman" w:hAnsi="Times New Roman" w:cs="Times New Roman"/>
          <w:sz w:val="24"/>
          <w:szCs w:val="24"/>
        </w:rPr>
        <w:t>APL’de</w:t>
      </w:r>
      <w:proofErr w:type="spellEnd"/>
      <w:r w:rsidRPr="006B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rolü olabileceği düşünülmektedir.</w:t>
      </w:r>
    </w:p>
    <w:p w:rsidR="000F5BC2" w:rsidRDefault="000F5BC2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Alloje</w:t>
      </w:r>
      <w:r w:rsidRPr="000F5BC2">
        <w:rPr>
          <w:rFonts w:ascii="Times New Roman" w:hAnsi="Times New Roman" w:cs="Times New Roman"/>
          <w:b/>
          <w:sz w:val="24"/>
          <w:szCs w:val="24"/>
        </w:rPr>
        <w:t>neik</w:t>
      </w:r>
      <w:proofErr w:type="spellEnd"/>
      <w:r w:rsidRPr="000F5BC2">
        <w:rPr>
          <w:rFonts w:ascii="Times New Roman" w:hAnsi="Times New Roman" w:cs="Times New Roman"/>
          <w:b/>
          <w:sz w:val="24"/>
          <w:szCs w:val="24"/>
        </w:rPr>
        <w:t xml:space="preserve"> HKHN: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BC2">
        <w:rPr>
          <w:rFonts w:ascii="Times New Roman" w:hAnsi="Times New Roman" w:cs="Times New Roman"/>
          <w:sz w:val="24"/>
          <w:szCs w:val="24"/>
        </w:rPr>
        <w:t xml:space="preserve">TR1’de iyi risk grubundaki hastalarda yeri </w:t>
      </w:r>
      <w:r w:rsidRPr="00833489">
        <w:rPr>
          <w:rFonts w:ascii="Times New Roman" w:hAnsi="Times New Roman" w:cs="Times New Roman"/>
          <w:sz w:val="24"/>
          <w:szCs w:val="24"/>
        </w:rPr>
        <w:t xml:space="preserve">yoktur. Orta ve yüksek risk grubu hastalarda </w:t>
      </w:r>
      <w:r w:rsidR="00833489" w:rsidRPr="00833489">
        <w:rPr>
          <w:rFonts w:ascii="Times New Roman" w:hAnsi="Times New Roman" w:cs="Times New Roman"/>
          <w:sz w:val="24"/>
          <w:szCs w:val="24"/>
        </w:rPr>
        <w:t xml:space="preserve">TR1’deki rolü </w:t>
      </w:r>
      <w:r w:rsidRPr="00833489">
        <w:rPr>
          <w:rFonts w:ascii="Times New Roman" w:hAnsi="Times New Roman" w:cs="Times New Roman"/>
          <w:sz w:val="24"/>
          <w:szCs w:val="24"/>
        </w:rPr>
        <w:t>tartışmalı olmakla beraber</w:t>
      </w:r>
      <w:r w:rsidR="00D12D23" w:rsidRPr="00833489">
        <w:rPr>
          <w:rFonts w:ascii="Times New Roman" w:hAnsi="Times New Roman" w:cs="Times New Roman"/>
          <w:sz w:val="24"/>
          <w:szCs w:val="24"/>
        </w:rPr>
        <w:t>,</w:t>
      </w:r>
      <w:r w:rsidRPr="00833489">
        <w:rPr>
          <w:rFonts w:ascii="Times New Roman" w:hAnsi="Times New Roman" w:cs="Times New Roman"/>
          <w:sz w:val="24"/>
          <w:szCs w:val="24"/>
        </w:rPr>
        <w:t xml:space="preserve"> yüksek risk grubunda birçok protokolde standart tedavi olarak önerilmektedir.</w:t>
      </w:r>
      <w:r w:rsidR="0007646C" w:rsidRPr="00833489">
        <w:rPr>
          <w:rFonts w:ascii="Times New Roman" w:hAnsi="Times New Roman" w:cs="Times New Roman"/>
          <w:sz w:val="24"/>
          <w:szCs w:val="24"/>
        </w:rPr>
        <w:t xml:space="preserve"> TR2’de</w:t>
      </w:r>
      <w:r w:rsidR="0007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46C">
        <w:rPr>
          <w:rFonts w:ascii="Times New Roman" w:hAnsi="Times New Roman" w:cs="Times New Roman"/>
          <w:sz w:val="24"/>
          <w:szCs w:val="24"/>
        </w:rPr>
        <w:t>allojeneik</w:t>
      </w:r>
      <w:proofErr w:type="spellEnd"/>
      <w:r w:rsidR="0007646C">
        <w:rPr>
          <w:rFonts w:ascii="Times New Roman" w:hAnsi="Times New Roman" w:cs="Times New Roman"/>
          <w:sz w:val="24"/>
          <w:szCs w:val="24"/>
        </w:rPr>
        <w:t xml:space="preserve"> HKHN standart tedavi olarak görülmektedir.</w:t>
      </w:r>
      <w:r w:rsidR="00833489">
        <w:rPr>
          <w:rFonts w:ascii="Times New Roman" w:hAnsi="Times New Roman" w:cs="Times New Roman"/>
          <w:sz w:val="24"/>
          <w:szCs w:val="24"/>
        </w:rPr>
        <w:t xml:space="preserve"> </w:t>
      </w:r>
      <w:r w:rsidR="008E5066">
        <w:rPr>
          <w:rFonts w:ascii="Times New Roman" w:hAnsi="Times New Roman" w:cs="Times New Roman"/>
          <w:sz w:val="24"/>
          <w:szCs w:val="24"/>
        </w:rPr>
        <w:t xml:space="preserve">Ülkemizde AML için HKHN, Sağlık Bakanlığının belirlediği </w:t>
      </w:r>
      <w:proofErr w:type="spellStart"/>
      <w:r w:rsidR="008E5066">
        <w:rPr>
          <w:rFonts w:ascii="Times New Roman" w:hAnsi="Times New Roman" w:cs="Times New Roman"/>
          <w:sz w:val="24"/>
          <w:szCs w:val="24"/>
        </w:rPr>
        <w:t>endikasyonlar</w:t>
      </w:r>
      <w:proofErr w:type="spellEnd"/>
      <w:r w:rsidR="008E5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06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8E5066">
        <w:rPr>
          <w:rFonts w:ascii="Times New Roman" w:hAnsi="Times New Roman" w:cs="Times New Roman"/>
          <w:sz w:val="24"/>
          <w:szCs w:val="24"/>
        </w:rPr>
        <w:t xml:space="preserve"> yapılmaktadır (bkz. https://organ.saglik.gov.tr/).</w:t>
      </w:r>
    </w:p>
    <w:p w:rsidR="0088284E" w:rsidRDefault="0088284E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E3" w:rsidRPr="00A832D4" w:rsidRDefault="002F2CAE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MSS Tedavisi</w:t>
      </w:r>
    </w:p>
    <w:p w:rsidR="002600E3" w:rsidRDefault="00534612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D4">
        <w:rPr>
          <w:rFonts w:ascii="Times New Roman" w:hAnsi="Times New Roman" w:cs="Times New Roman"/>
          <w:sz w:val="24"/>
          <w:szCs w:val="24"/>
        </w:rPr>
        <w:t xml:space="preserve">Tanıda ve </w:t>
      </w:r>
      <w:proofErr w:type="spellStart"/>
      <w:r w:rsidRPr="00A832D4">
        <w:rPr>
          <w:rFonts w:ascii="Times New Roman" w:hAnsi="Times New Roman" w:cs="Times New Roman"/>
          <w:sz w:val="24"/>
          <w:szCs w:val="24"/>
        </w:rPr>
        <w:t>relapsta</w:t>
      </w:r>
      <w:proofErr w:type="spellEnd"/>
      <w:r w:rsidRPr="00A832D4">
        <w:rPr>
          <w:rFonts w:ascii="Times New Roman" w:hAnsi="Times New Roman" w:cs="Times New Roman"/>
          <w:sz w:val="24"/>
          <w:szCs w:val="24"/>
        </w:rPr>
        <w:t xml:space="preserve"> MSS tutulumu çocuk AML olgularının %5-10’unda görülmektedir. </w:t>
      </w:r>
      <w:proofErr w:type="spellStart"/>
      <w:r w:rsidRPr="00A832D4">
        <w:rPr>
          <w:rFonts w:ascii="Times New Roman" w:hAnsi="Times New Roman" w:cs="Times New Roman"/>
          <w:sz w:val="24"/>
          <w:szCs w:val="24"/>
        </w:rPr>
        <w:t>Hiperlökositoz</w:t>
      </w:r>
      <w:proofErr w:type="spellEnd"/>
      <w:r w:rsidRPr="00A83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2D4">
        <w:rPr>
          <w:rFonts w:ascii="Times New Roman" w:hAnsi="Times New Roman" w:cs="Times New Roman"/>
          <w:sz w:val="24"/>
          <w:szCs w:val="24"/>
        </w:rPr>
        <w:t>monositik</w:t>
      </w:r>
      <w:proofErr w:type="spellEnd"/>
      <w:r w:rsidRPr="00A832D4">
        <w:rPr>
          <w:rFonts w:ascii="Times New Roman" w:hAnsi="Times New Roman" w:cs="Times New Roman"/>
          <w:sz w:val="24"/>
          <w:szCs w:val="24"/>
        </w:rPr>
        <w:t xml:space="preserve"> lösemiler, </w:t>
      </w:r>
      <w:r w:rsidRPr="00A832D4">
        <w:rPr>
          <w:rFonts w:ascii="Times New Roman" w:hAnsi="Times New Roman" w:cs="Times New Roman"/>
          <w:i/>
          <w:sz w:val="24"/>
          <w:szCs w:val="24"/>
        </w:rPr>
        <w:t xml:space="preserve">MLL </w:t>
      </w:r>
      <w:r w:rsidRPr="00A832D4">
        <w:rPr>
          <w:rFonts w:ascii="Times New Roman" w:hAnsi="Times New Roman" w:cs="Times New Roman"/>
          <w:sz w:val="24"/>
          <w:szCs w:val="24"/>
        </w:rPr>
        <w:t>yeniden düzenlenmesi ve küçük yaşta MSS tutulumu daha sık görülmektedir.</w:t>
      </w:r>
    </w:p>
    <w:p w:rsidR="00534612" w:rsidRPr="00534612" w:rsidRDefault="00534612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MSS tedavisi tanıda MSS tutulumu saptanmayan olgulara da uygulanmaktadır.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İntratekal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tedaviler tekli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şeklinde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kemoterapisi olarak verilmektedir. Tanıda MSS tutulumu yoksa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ışınlama AML için artık uygulanmamaktadır. ALL BFM 2013 tedavi protokolünde tedavi bloğunda yüksek doz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sitarabinin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bulunmadığı bloklarda üçlü</w:t>
      </w:r>
      <w:r w:rsidR="00CD032F">
        <w:rPr>
          <w:rFonts w:ascii="Times New Roman" w:hAnsi="Times New Roman" w:cs="Times New Roman"/>
          <w:sz w:val="24"/>
          <w:szCs w:val="24"/>
        </w:rPr>
        <w:t xml:space="preserve">, diğerlerinde tekli </w:t>
      </w:r>
      <w:proofErr w:type="spellStart"/>
      <w:r w:rsidR="00CD032F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="00CD032F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tedavi </w:t>
      </w:r>
      <w:r w:rsidR="00345CC2">
        <w:rPr>
          <w:rFonts w:ascii="Times New Roman" w:hAnsi="Times New Roman" w:cs="Times New Roman"/>
          <w:sz w:val="24"/>
          <w:szCs w:val="24"/>
        </w:rPr>
        <w:t>verilmektedir.</w:t>
      </w:r>
      <w:r w:rsidR="008A3BB6">
        <w:rPr>
          <w:rFonts w:ascii="Times New Roman" w:hAnsi="Times New Roman" w:cs="Times New Roman"/>
          <w:sz w:val="24"/>
          <w:szCs w:val="24"/>
        </w:rPr>
        <w:t xml:space="preserve"> AML BFM 2013 protokolünde idame tedavisinin başında da iki hafta arayla 4 kez üçlü </w:t>
      </w:r>
      <w:proofErr w:type="spellStart"/>
      <w:r w:rsidR="008A3BB6">
        <w:rPr>
          <w:rFonts w:ascii="Times New Roman" w:hAnsi="Times New Roman" w:cs="Times New Roman"/>
          <w:sz w:val="24"/>
          <w:szCs w:val="24"/>
        </w:rPr>
        <w:t>intratekal</w:t>
      </w:r>
      <w:proofErr w:type="spellEnd"/>
      <w:r w:rsidR="008A3BB6">
        <w:rPr>
          <w:rFonts w:ascii="Times New Roman" w:hAnsi="Times New Roman" w:cs="Times New Roman"/>
          <w:sz w:val="24"/>
          <w:szCs w:val="24"/>
        </w:rPr>
        <w:t xml:space="preserve"> tedavi verilmektedir.</w:t>
      </w:r>
    </w:p>
    <w:p w:rsidR="006D3576" w:rsidRDefault="006D357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F4">
        <w:rPr>
          <w:rFonts w:ascii="Times New Roman" w:hAnsi="Times New Roman" w:cs="Times New Roman"/>
          <w:b/>
          <w:sz w:val="24"/>
          <w:szCs w:val="24"/>
        </w:rPr>
        <w:t>Ta</w:t>
      </w:r>
      <w:r w:rsidR="00CC72F4" w:rsidRPr="00CC72F4">
        <w:rPr>
          <w:rFonts w:ascii="Times New Roman" w:hAnsi="Times New Roman" w:cs="Times New Roman"/>
          <w:b/>
          <w:sz w:val="24"/>
          <w:szCs w:val="24"/>
        </w:rPr>
        <w:t>nıda MSS tutulumu olan olgular</w:t>
      </w:r>
      <w:r w:rsidR="0088284E">
        <w:rPr>
          <w:rFonts w:ascii="Times New Roman" w:hAnsi="Times New Roman" w:cs="Times New Roman"/>
          <w:b/>
          <w:sz w:val="24"/>
          <w:szCs w:val="24"/>
        </w:rPr>
        <w:t>da tedavi</w:t>
      </w:r>
      <w:r w:rsidR="00CC72F4" w:rsidRPr="00CC72F4">
        <w:rPr>
          <w:rFonts w:ascii="Times New Roman" w:hAnsi="Times New Roman" w:cs="Times New Roman"/>
          <w:b/>
          <w:sz w:val="24"/>
          <w:szCs w:val="24"/>
        </w:rPr>
        <w:t>:</w:t>
      </w:r>
      <w:r w:rsidR="00CC72F4">
        <w:rPr>
          <w:rFonts w:ascii="Times New Roman" w:hAnsi="Times New Roman" w:cs="Times New Roman"/>
          <w:sz w:val="24"/>
          <w:szCs w:val="24"/>
        </w:rPr>
        <w:t xml:space="preserve"> </w:t>
      </w:r>
      <w:r w:rsidR="00CC72F4" w:rsidRPr="00CC72F4">
        <w:rPr>
          <w:rFonts w:ascii="Times New Roman" w:hAnsi="Times New Roman" w:cs="Times New Roman"/>
          <w:sz w:val="24"/>
          <w:szCs w:val="24"/>
        </w:rPr>
        <w:t>MSS3 durumu</w:t>
      </w:r>
      <w:r w:rsidR="00CC72F4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yoğunlaştırılmış MSS tedavisi verilmelidir. MSS2’nin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farklı olarak MSS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relapsını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etkilemediği bildirilmiştir.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BOS’taki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ortadan kalkana kadar yoğunlaştırılmış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 önerilmektedir. Birçok protokolde MSS tutulumu olan olgulara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ışınlama yapılırken yoğun sistemik </w:t>
      </w:r>
      <w:proofErr w:type="gramStart"/>
      <w:r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birlikte sık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tedavi ile de benzer sonuç alınabileceği bildirilmektedir.</w:t>
      </w:r>
    </w:p>
    <w:p w:rsidR="006D3576" w:rsidRPr="006D3576" w:rsidRDefault="006D357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İnfantlarda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ışınlamadan kaçınılmalı veya ertelenmelidir.</w:t>
      </w:r>
      <w:r w:rsidR="00CC72F4">
        <w:rPr>
          <w:rFonts w:ascii="Times New Roman" w:hAnsi="Times New Roman" w:cs="Times New Roman"/>
          <w:sz w:val="24"/>
          <w:szCs w:val="24"/>
        </w:rPr>
        <w:t xml:space="preserve"> HKHN uygulanan hastalarda nakil sonrası </w:t>
      </w:r>
      <w:r w:rsidR="00B80DB7">
        <w:rPr>
          <w:rFonts w:ascii="Times New Roman" w:hAnsi="Times New Roman" w:cs="Times New Roman"/>
          <w:sz w:val="24"/>
          <w:szCs w:val="24"/>
        </w:rPr>
        <w:t>MSS tedavisinin uygulanması değerlendirilmelidir.</w:t>
      </w:r>
    </w:p>
    <w:p w:rsidR="0088284E" w:rsidRDefault="0088284E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2D" w:rsidRDefault="0023202D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Hasta Gruplarında AML Tedavisi</w:t>
      </w:r>
    </w:p>
    <w:p w:rsidR="0023202D" w:rsidRDefault="0023202D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2D" w:rsidRDefault="0023202D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 </w:t>
      </w:r>
      <w:r w:rsidR="00DD1DE7">
        <w:rPr>
          <w:rFonts w:ascii="Times New Roman" w:hAnsi="Times New Roman" w:cs="Times New Roman"/>
          <w:b/>
          <w:sz w:val="24"/>
          <w:szCs w:val="24"/>
        </w:rPr>
        <w:t>yaş altı çocuklarda AML</w:t>
      </w:r>
    </w:p>
    <w:p w:rsidR="0023202D" w:rsidRPr="00155348" w:rsidRDefault="00155348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48">
        <w:rPr>
          <w:rFonts w:ascii="Times New Roman" w:hAnsi="Times New Roman" w:cs="Times New Roman"/>
          <w:sz w:val="24"/>
          <w:szCs w:val="24"/>
        </w:rPr>
        <w:t>Biyolojik olarak farklı, genel olarak yüksek risk özelliklerini taşıyan AML olgularıdır.</w:t>
      </w:r>
      <w:r w:rsidRPr="00D5054F">
        <w:rPr>
          <w:rFonts w:ascii="Times New Roman" w:hAnsi="Times New Roman" w:cs="Times New Roman"/>
          <w:i/>
          <w:sz w:val="24"/>
          <w:szCs w:val="24"/>
        </w:rPr>
        <w:t xml:space="preserve"> MLL</w:t>
      </w:r>
      <w:r w:rsidRPr="00155348">
        <w:rPr>
          <w:rFonts w:ascii="Times New Roman" w:hAnsi="Times New Roman" w:cs="Times New Roman"/>
          <w:sz w:val="24"/>
          <w:szCs w:val="24"/>
        </w:rPr>
        <w:t xml:space="preserve"> yeniden düzenlenmesi sıktır (</w:t>
      </w:r>
      <w:r>
        <w:rPr>
          <w:rFonts w:ascii="Times New Roman" w:hAnsi="Times New Roman" w:cs="Times New Roman"/>
          <w:sz w:val="24"/>
          <w:szCs w:val="24"/>
        </w:rPr>
        <w:t xml:space="preserve">yaklaşık </w:t>
      </w:r>
      <w:r w:rsidRPr="00155348">
        <w:rPr>
          <w:rFonts w:ascii="Times New Roman" w:hAnsi="Times New Roman" w:cs="Times New Roman"/>
          <w:sz w:val="24"/>
          <w:szCs w:val="24"/>
        </w:rPr>
        <w:t>%50)</w:t>
      </w:r>
      <w:r>
        <w:rPr>
          <w:rFonts w:ascii="Times New Roman" w:hAnsi="Times New Roman" w:cs="Times New Roman"/>
          <w:sz w:val="24"/>
          <w:szCs w:val="24"/>
        </w:rPr>
        <w:t>. Nadir değişikliklerden t(7;12) ve t(1;22) neredeyse sadece bu grupta saptanırken CBF-AML ve t(15;17) az görülmektedir.</w:t>
      </w:r>
    </w:p>
    <w:p w:rsidR="00D5054F" w:rsidRDefault="00F4495A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 çocuklarda AML tedavisi prensip olarak daha büyük çocuklardan farklı değildir. </w:t>
      </w:r>
      <w:r w:rsidR="00D5054F" w:rsidRPr="00D5054F">
        <w:rPr>
          <w:rFonts w:ascii="Times New Roman" w:hAnsi="Times New Roman" w:cs="Times New Roman"/>
          <w:sz w:val="24"/>
          <w:szCs w:val="24"/>
        </w:rPr>
        <w:t xml:space="preserve">Bir yaş altındaki olgularda özellikle </w:t>
      </w:r>
      <w:proofErr w:type="spellStart"/>
      <w:r w:rsidR="00D5054F" w:rsidRPr="00D5054F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="00D5054F" w:rsidRPr="00D5054F">
        <w:rPr>
          <w:rFonts w:ascii="Times New Roman" w:hAnsi="Times New Roman" w:cs="Times New Roman"/>
          <w:sz w:val="24"/>
          <w:szCs w:val="24"/>
        </w:rPr>
        <w:t xml:space="preserve"> gibi ilaçların </w:t>
      </w:r>
      <w:proofErr w:type="spellStart"/>
      <w:r w:rsidR="00D5054F" w:rsidRPr="00D5054F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D5054F" w:rsidRPr="00D5054F">
        <w:rPr>
          <w:rFonts w:ascii="Times New Roman" w:hAnsi="Times New Roman" w:cs="Times New Roman"/>
          <w:sz w:val="24"/>
          <w:szCs w:val="24"/>
        </w:rPr>
        <w:t xml:space="preserve"> ve farmakodinamik </w:t>
      </w:r>
      <w:proofErr w:type="gramStart"/>
      <w:r w:rsidR="00D5054F" w:rsidRPr="00D5054F">
        <w:rPr>
          <w:rFonts w:ascii="Times New Roman" w:hAnsi="Times New Roman" w:cs="Times New Roman"/>
          <w:sz w:val="24"/>
          <w:szCs w:val="24"/>
        </w:rPr>
        <w:t>profillerinin</w:t>
      </w:r>
      <w:proofErr w:type="gramEnd"/>
      <w:r w:rsidR="00D5054F" w:rsidRPr="00D5054F">
        <w:rPr>
          <w:rFonts w:ascii="Times New Roman" w:hAnsi="Times New Roman" w:cs="Times New Roman"/>
          <w:sz w:val="24"/>
          <w:szCs w:val="24"/>
        </w:rPr>
        <w:t xml:space="preserve"> farklı olması nedeniyle</w:t>
      </w:r>
      <w:r w:rsidR="00D5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4F">
        <w:rPr>
          <w:rFonts w:ascii="Times New Roman" w:hAnsi="Times New Roman" w:cs="Times New Roman"/>
          <w:sz w:val="24"/>
          <w:szCs w:val="24"/>
        </w:rPr>
        <w:t>infantlarda</w:t>
      </w:r>
      <w:proofErr w:type="spellEnd"/>
      <w:r w:rsidR="00D5054F">
        <w:rPr>
          <w:rFonts w:ascii="Times New Roman" w:hAnsi="Times New Roman" w:cs="Times New Roman"/>
          <w:sz w:val="24"/>
          <w:szCs w:val="24"/>
        </w:rPr>
        <w:t xml:space="preserve"> doz vücut yüzeyi yerine vücut ağırlığına göre </w:t>
      </w:r>
      <w:r w:rsidR="00D5054F" w:rsidRPr="002F2CAE">
        <w:rPr>
          <w:rFonts w:ascii="Times New Roman" w:hAnsi="Times New Roman" w:cs="Times New Roman"/>
          <w:sz w:val="24"/>
          <w:szCs w:val="24"/>
        </w:rPr>
        <w:t>(mg/kg) hesaplanmaktadır (vücut yüzeyine göre bulunan dozun 30’a bölündükten sonra vücut ağırlığı ile çarpılarak hesaplanması).</w:t>
      </w:r>
      <w:r w:rsidR="00D5054F">
        <w:rPr>
          <w:rFonts w:ascii="Times New Roman" w:hAnsi="Times New Roman" w:cs="Times New Roman"/>
          <w:sz w:val="24"/>
          <w:szCs w:val="24"/>
        </w:rPr>
        <w:t xml:space="preserve"> AML-BFM</w:t>
      </w:r>
      <w:r w:rsidR="00A31C95">
        <w:rPr>
          <w:rFonts w:ascii="Times New Roman" w:hAnsi="Times New Roman" w:cs="Times New Roman"/>
          <w:sz w:val="24"/>
          <w:szCs w:val="24"/>
        </w:rPr>
        <w:t xml:space="preserve"> protokolünde iki yaş altı çocuklarda azalmış </w:t>
      </w:r>
      <w:proofErr w:type="spellStart"/>
      <w:r w:rsidR="00A31C95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="00A31C95">
        <w:rPr>
          <w:rFonts w:ascii="Times New Roman" w:hAnsi="Times New Roman" w:cs="Times New Roman"/>
          <w:sz w:val="24"/>
          <w:szCs w:val="24"/>
        </w:rPr>
        <w:t xml:space="preserve"> nedeniyle yüksek doz </w:t>
      </w:r>
      <w:proofErr w:type="spellStart"/>
      <w:r w:rsidR="00A31C95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="00A31C95">
        <w:rPr>
          <w:rFonts w:ascii="Times New Roman" w:hAnsi="Times New Roman" w:cs="Times New Roman"/>
          <w:sz w:val="24"/>
          <w:szCs w:val="24"/>
        </w:rPr>
        <w:t xml:space="preserve"> tedavileri</w:t>
      </w:r>
      <w:r w:rsidR="002F2CAE">
        <w:rPr>
          <w:rFonts w:ascii="Times New Roman" w:hAnsi="Times New Roman" w:cs="Times New Roman"/>
          <w:sz w:val="24"/>
          <w:szCs w:val="24"/>
        </w:rPr>
        <w:t>nde doz</w:t>
      </w:r>
      <w:r w:rsidR="00A31C95">
        <w:rPr>
          <w:rFonts w:ascii="Times New Roman" w:hAnsi="Times New Roman" w:cs="Times New Roman"/>
          <w:sz w:val="24"/>
          <w:szCs w:val="24"/>
        </w:rPr>
        <w:t xml:space="preserve"> yaşa</w:t>
      </w:r>
      <w:r w:rsidR="00447987">
        <w:rPr>
          <w:rFonts w:ascii="Times New Roman" w:hAnsi="Times New Roman" w:cs="Times New Roman"/>
          <w:sz w:val="24"/>
          <w:szCs w:val="24"/>
        </w:rPr>
        <w:t xml:space="preserve"> göre ayarlanmaktadır.</w:t>
      </w:r>
    </w:p>
    <w:p w:rsidR="00A26B06" w:rsidRDefault="00A26B06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barsak ve akciğer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akut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küçük çocuklarda daha sık ve ağır olarak görülmektedir. </w:t>
      </w:r>
      <w:r w:rsidR="00BC1F02">
        <w:rPr>
          <w:rFonts w:ascii="Times New Roman" w:hAnsi="Times New Roman" w:cs="Times New Roman"/>
          <w:sz w:val="24"/>
          <w:szCs w:val="24"/>
        </w:rPr>
        <w:t xml:space="preserve">Akut ve kronik </w:t>
      </w:r>
      <w:proofErr w:type="spellStart"/>
      <w:r w:rsidR="00BC1F02">
        <w:rPr>
          <w:rFonts w:ascii="Times New Roman" w:hAnsi="Times New Roman" w:cs="Times New Roman"/>
          <w:sz w:val="24"/>
          <w:szCs w:val="24"/>
        </w:rPr>
        <w:t>kardiyotoksisite</w:t>
      </w:r>
      <w:proofErr w:type="spellEnd"/>
      <w:r w:rsidR="00BC1F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1F02">
        <w:rPr>
          <w:rFonts w:ascii="Times New Roman" w:hAnsi="Times New Roman" w:cs="Times New Roman"/>
          <w:sz w:val="24"/>
          <w:szCs w:val="24"/>
        </w:rPr>
        <w:t>in</w:t>
      </w:r>
      <w:r w:rsidR="0039279F">
        <w:rPr>
          <w:rFonts w:ascii="Times New Roman" w:hAnsi="Times New Roman" w:cs="Times New Roman"/>
          <w:sz w:val="24"/>
          <w:szCs w:val="24"/>
        </w:rPr>
        <w:t>fant</w:t>
      </w:r>
      <w:proofErr w:type="spellEnd"/>
      <w:r w:rsidR="0039279F">
        <w:rPr>
          <w:rFonts w:ascii="Times New Roman" w:hAnsi="Times New Roman" w:cs="Times New Roman"/>
          <w:sz w:val="24"/>
          <w:szCs w:val="24"/>
        </w:rPr>
        <w:t xml:space="preserve"> grubunda daha fazla görül</w:t>
      </w:r>
      <w:r w:rsidR="00BC1F02">
        <w:rPr>
          <w:rFonts w:ascii="Times New Roman" w:hAnsi="Times New Roman" w:cs="Times New Roman"/>
          <w:sz w:val="24"/>
          <w:szCs w:val="24"/>
        </w:rPr>
        <w:t>ür.</w:t>
      </w:r>
    </w:p>
    <w:p w:rsidR="008F1969" w:rsidRDefault="008F1969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AE" w:rsidRDefault="00DD1DE7" w:rsidP="00313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Konjenital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AML</w:t>
      </w:r>
    </w:p>
    <w:p w:rsidR="005C18AE" w:rsidRDefault="002F648B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GATA1</w:t>
      </w:r>
      <w:r w:rsidR="00DD1DE7">
        <w:rPr>
          <w:rFonts w:ascii="Times New Roman" w:hAnsi="Times New Roman" w:cs="Times New Roman"/>
          <w:sz w:val="24"/>
          <w:szCs w:val="24"/>
        </w:rPr>
        <w:t xml:space="preserve"> mutasyonu ile ilişkili lösemi </w:t>
      </w:r>
      <w:r>
        <w:rPr>
          <w:rFonts w:ascii="Times New Roman" w:hAnsi="Times New Roman" w:cs="Times New Roman"/>
          <w:sz w:val="24"/>
          <w:szCs w:val="24"/>
        </w:rPr>
        <w:t xml:space="preserve">dışlanmalıdır çünkü bu durumda tedavi verilmesi gerekmeyebilir. Klinik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hematolojik tabloda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tedavi gerektiren klinik bulgular </w:t>
      </w:r>
      <w:r w:rsidR="008A51E4">
        <w:rPr>
          <w:rFonts w:ascii="Times New Roman" w:hAnsi="Times New Roman" w:cs="Times New Roman"/>
          <w:sz w:val="24"/>
          <w:szCs w:val="24"/>
        </w:rPr>
        <w:t>ortaya çıkana dek yoğun kemoterapi verilmemelidir.</w:t>
      </w:r>
    </w:p>
    <w:p w:rsidR="008F1969" w:rsidRDefault="008F1969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53" w:rsidRDefault="007B5353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53" w:rsidRDefault="007B5353" w:rsidP="00313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969" w:rsidRDefault="00DD1DE7" w:rsidP="00575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Miyeloid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Sarkom</w:t>
      </w:r>
    </w:p>
    <w:p w:rsidR="008F1969" w:rsidRDefault="008F1969" w:rsidP="00575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="005D2FC7">
        <w:rPr>
          <w:rFonts w:ascii="Times New Roman" w:hAnsi="Times New Roman" w:cs="Times New Roman"/>
          <w:sz w:val="24"/>
          <w:szCs w:val="24"/>
        </w:rPr>
        <w:t xml:space="preserve"> (EM)</w:t>
      </w:r>
      <w:r>
        <w:rPr>
          <w:rFonts w:ascii="Times New Roman" w:hAnsi="Times New Roman" w:cs="Times New Roman"/>
          <w:sz w:val="24"/>
          <w:szCs w:val="24"/>
        </w:rPr>
        <w:t xml:space="preserve"> bir veya daha fazla alanda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tümör kitlesi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infiltrasyonun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olmasıdır. Diğer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granülositik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sarkomdur. 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sarkom (MS) sıklıkla AML ile birliktedir ancak bazen kemik iliği tutulumundan önce de belirebilir. En sık tutulan </w:t>
      </w:r>
      <w:r w:rsidR="00350DF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bölge deri olmakla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lenf </w:t>
      </w:r>
      <w:proofErr w:type="spellStart"/>
      <w:r>
        <w:rPr>
          <w:rFonts w:ascii="Times New Roman" w:hAnsi="Times New Roman" w:cs="Times New Roman"/>
          <w:sz w:val="24"/>
          <w:szCs w:val="24"/>
        </w:rPr>
        <w:t>nodları</w:t>
      </w:r>
      <w:proofErr w:type="spellEnd"/>
      <w:r>
        <w:rPr>
          <w:rFonts w:ascii="Times New Roman" w:hAnsi="Times New Roman" w:cs="Times New Roman"/>
          <w:sz w:val="24"/>
          <w:szCs w:val="24"/>
        </w:rPr>
        <w:t>, kemikte, yumuşak dokular, böbrek, testis gibi diğer organlarda görülebilir.</w:t>
      </w:r>
      <w:r w:rsidR="005B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34">
        <w:rPr>
          <w:rFonts w:ascii="Times New Roman" w:hAnsi="Times New Roman" w:cs="Times New Roman"/>
          <w:sz w:val="24"/>
          <w:szCs w:val="24"/>
        </w:rPr>
        <w:t>Kİ’de</w:t>
      </w:r>
      <w:proofErr w:type="spellEnd"/>
      <w:r w:rsidR="005B7934">
        <w:rPr>
          <w:rFonts w:ascii="Times New Roman" w:hAnsi="Times New Roman" w:cs="Times New Roman"/>
          <w:sz w:val="24"/>
          <w:szCs w:val="24"/>
        </w:rPr>
        <w:t xml:space="preserve"> &lt;%20 </w:t>
      </w:r>
      <w:proofErr w:type="spellStart"/>
      <w:r w:rsidR="005B7934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5B7934">
        <w:rPr>
          <w:rFonts w:ascii="Times New Roman" w:hAnsi="Times New Roman" w:cs="Times New Roman"/>
          <w:sz w:val="24"/>
          <w:szCs w:val="24"/>
        </w:rPr>
        <w:t xml:space="preserve"> olması ile MS </w:t>
      </w:r>
      <w:proofErr w:type="gramStart"/>
      <w:r w:rsidR="005B7934">
        <w:rPr>
          <w:rFonts w:ascii="Times New Roman" w:hAnsi="Times New Roman" w:cs="Times New Roman"/>
          <w:sz w:val="24"/>
          <w:szCs w:val="24"/>
        </w:rPr>
        <w:t>aşikar</w:t>
      </w:r>
      <w:proofErr w:type="gramEnd"/>
      <w:r w:rsidR="005B79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7934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="005B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34">
        <w:rPr>
          <w:rFonts w:ascii="Times New Roman" w:hAnsi="Times New Roman" w:cs="Times New Roman"/>
          <w:sz w:val="24"/>
          <w:szCs w:val="24"/>
        </w:rPr>
        <w:t>AML’den</w:t>
      </w:r>
      <w:proofErr w:type="spellEnd"/>
      <w:r w:rsidR="005B7934">
        <w:rPr>
          <w:rFonts w:ascii="Times New Roman" w:hAnsi="Times New Roman" w:cs="Times New Roman"/>
          <w:sz w:val="24"/>
          <w:szCs w:val="24"/>
        </w:rPr>
        <w:t xml:space="preserve"> ayrılır.</w:t>
      </w:r>
    </w:p>
    <w:p w:rsidR="004A1B0A" w:rsidRDefault="004A1B0A" w:rsidP="00575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İzole MS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Kİ’nde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sayısının düşük olduğu MS çocukluk çağı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AML’lerinin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%2-4’ünü oluşturur.</w:t>
      </w:r>
    </w:p>
    <w:p w:rsidR="004A1B0A" w:rsidRPr="008F1969" w:rsidRDefault="005D2FC7" w:rsidP="00575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olgularının tümüne genel risk sınıflamasına uygun yoğun AML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sistemik kemoterapi önerilmektedir. Ek olarak EM tutulum alanına </w:t>
      </w:r>
      <w:proofErr w:type="gramStart"/>
      <w:r>
        <w:rPr>
          <w:rFonts w:ascii="Times New Roman" w:hAnsi="Times New Roman" w:cs="Times New Roman"/>
          <w:sz w:val="24"/>
          <w:szCs w:val="24"/>
        </w:rPr>
        <w:t>lokal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ışınlama da uygulanabilmektedir.</w:t>
      </w:r>
    </w:p>
    <w:p w:rsidR="0014560E" w:rsidRPr="00AC15DB" w:rsidRDefault="00904D64" w:rsidP="00575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>
        <w:rPr>
          <w:rFonts w:ascii="Times New Roman" w:hAnsi="Times New Roman" w:cs="Times New Roman"/>
          <w:sz w:val="24"/>
          <w:szCs w:val="24"/>
        </w:rPr>
        <w:t>miyeloid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lö</w:t>
      </w:r>
      <w:r w:rsidR="00AC15DB">
        <w:rPr>
          <w:rFonts w:ascii="Times New Roman" w:hAnsi="Times New Roman" w:cs="Times New Roman"/>
          <w:sz w:val="24"/>
          <w:szCs w:val="24"/>
        </w:rPr>
        <w:t xml:space="preserve">semide </w:t>
      </w:r>
      <w:proofErr w:type="spellStart"/>
      <w:r w:rsidR="00AC15DB">
        <w:rPr>
          <w:rFonts w:ascii="Times New Roman" w:hAnsi="Times New Roman" w:cs="Times New Roman"/>
          <w:sz w:val="24"/>
          <w:szCs w:val="24"/>
        </w:rPr>
        <w:t>ekstramedüller</w:t>
      </w:r>
      <w:proofErr w:type="spellEnd"/>
      <w:r w:rsidR="00AC15DB">
        <w:rPr>
          <w:rFonts w:ascii="Times New Roman" w:hAnsi="Times New Roman" w:cs="Times New Roman"/>
          <w:sz w:val="24"/>
          <w:szCs w:val="24"/>
        </w:rPr>
        <w:t xml:space="preserve"> tutulum bölgelerinin saptanması </w:t>
      </w:r>
      <w:r w:rsidR="00AC15DB" w:rsidRPr="00AC15DB">
        <w:rPr>
          <w:rFonts w:ascii="Times New Roman" w:hAnsi="Times New Roman" w:cs="Times New Roman"/>
          <w:sz w:val="24"/>
          <w:szCs w:val="24"/>
        </w:rPr>
        <w:t>ve tedavi yanıtının değerlendirilmesinde</w:t>
      </w:r>
      <w:r w:rsidR="00AC15DB">
        <w:rPr>
          <w:rFonts w:ascii="Times New Roman" w:hAnsi="Times New Roman" w:cs="Times New Roman"/>
          <w:sz w:val="24"/>
          <w:szCs w:val="24"/>
        </w:rPr>
        <w:t xml:space="preserve"> pozitron </w:t>
      </w:r>
      <w:proofErr w:type="gramStart"/>
      <w:r w:rsidR="00AC15DB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="00AC15DB">
        <w:rPr>
          <w:rFonts w:ascii="Times New Roman" w:hAnsi="Times New Roman" w:cs="Times New Roman"/>
          <w:sz w:val="24"/>
          <w:szCs w:val="24"/>
        </w:rPr>
        <w:t xml:space="preserve"> </w:t>
      </w:r>
      <w:r w:rsidR="00AC15DB" w:rsidRPr="00B054D1">
        <w:rPr>
          <w:rFonts w:ascii="Times New Roman" w:hAnsi="Times New Roman" w:cs="Times New Roman"/>
          <w:sz w:val="24"/>
          <w:szCs w:val="24"/>
        </w:rPr>
        <w:t>tomografinin (PET)</w:t>
      </w:r>
      <w:r w:rsidR="00AC15DB">
        <w:rPr>
          <w:rFonts w:ascii="Times New Roman" w:hAnsi="Times New Roman" w:cs="Times New Roman"/>
          <w:sz w:val="24"/>
          <w:szCs w:val="24"/>
        </w:rPr>
        <w:t xml:space="preserve"> yararlı olabileceği belirtilmektedir. </w:t>
      </w:r>
    </w:p>
    <w:p w:rsidR="00224036" w:rsidRDefault="00224036" w:rsidP="00A46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AB7" w:rsidRPr="00BB5A0E" w:rsidRDefault="00BB5A0E" w:rsidP="00A46E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A0E">
        <w:rPr>
          <w:rFonts w:ascii="Times New Roman" w:hAnsi="Times New Roman" w:cs="Times New Roman"/>
          <w:b/>
          <w:sz w:val="24"/>
          <w:szCs w:val="24"/>
        </w:rPr>
        <w:t>Mikst</w:t>
      </w:r>
      <w:proofErr w:type="spellEnd"/>
      <w:r w:rsidRPr="00BB5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0E">
        <w:rPr>
          <w:rFonts w:ascii="Times New Roman" w:hAnsi="Times New Roman" w:cs="Times New Roman"/>
          <w:b/>
          <w:sz w:val="24"/>
          <w:szCs w:val="24"/>
        </w:rPr>
        <w:t>Fenotipli</w:t>
      </w:r>
      <w:proofErr w:type="spellEnd"/>
      <w:r w:rsidRPr="00BB5A0E">
        <w:rPr>
          <w:rFonts w:ascii="Times New Roman" w:hAnsi="Times New Roman" w:cs="Times New Roman"/>
          <w:b/>
          <w:sz w:val="24"/>
          <w:szCs w:val="24"/>
        </w:rPr>
        <w:t xml:space="preserve"> Akut Lösemi</w:t>
      </w:r>
      <w:r>
        <w:rPr>
          <w:rFonts w:ascii="Times New Roman" w:hAnsi="Times New Roman" w:cs="Times New Roman"/>
          <w:b/>
          <w:sz w:val="24"/>
          <w:szCs w:val="24"/>
        </w:rPr>
        <w:t xml:space="preserve"> (MPAL)</w:t>
      </w:r>
    </w:p>
    <w:p w:rsidR="00541AB7" w:rsidRDefault="00BB5A0E" w:rsidP="00A46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Baskın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lenfoblastik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taşıyan </w:t>
      </w:r>
      <w:proofErr w:type="spellStart"/>
      <w:r>
        <w:rPr>
          <w:rFonts w:ascii="Times New Roman" w:hAnsi="Times New Roman" w:cs="Times New Roman"/>
          <w:sz w:val="24"/>
          <w:szCs w:val="24"/>
        </w:rPr>
        <w:t>MPAL’de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tedavisinin çok etkili olduğu gösterilmiştir. Morfoloji, genetik,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sitokimyasal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inceleme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immunfenotipleme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belirlenen baskın seriye uygun tedavi edilmelidirler.</w:t>
      </w:r>
    </w:p>
    <w:p w:rsidR="00907A45" w:rsidRPr="001F30EA" w:rsidRDefault="00907A45" w:rsidP="00A46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78" w:rsidRPr="00A46E90" w:rsidRDefault="00907A45" w:rsidP="001C45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E90">
        <w:rPr>
          <w:rFonts w:ascii="Times New Roman" w:hAnsi="Times New Roman" w:cs="Times New Roman"/>
          <w:b/>
          <w:sz w:val="24"/>
          <w:szCs w:val="24"/>
        </w:rPr>
        <w:t xml:space="preserve">Akut </w:t>
      </w:r>
      <w:proofErr w:type="spellStart"/>
      <w:r w:rsidRPr="00A46E90">
        <w:rPr>
          <w:rFonts w:ascii="Times New Roman" w:hAnsi="Times New Roman" w:cs="Times New Roman"/>
          <w:b/>
          <w:sz w:val="24"/>
          <w:szCs w:val="24"/>
        </w:rPr>
        <w:t>Promiyelositik</w:t>
      </w:r>
      <w:proofErr w:type="spellEnd"/>
      <w:r w:rsidRPr="00A46E90">
        <w:rPr>
          <w:rFonts w:ascii="Times New Roman" w:hAnsi="Times New Roman" w:cs="Times New Roman"/>
          <w:b/>
          <w:sz w:val="24"/>
          <w:szCs w:val="24"/>
        </w:rPr>
        <w:t xml:space="preserve"> Lösemi</w:t>
      </w:r>
    </w:p>
    <w:p w:rsidR="0053227E" w:rsidRDefault="00172B25" w:rsidP="001C4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Standart risk grubunda tedavi edilen APL en </w:t>
      </w:r>
      <w:r w:rsidR="00A46E90" w:rsidRPr="00A46E90">
        <w:rPr>
          <w:rFonts w:ascii="Times New Roman" w:hAnsi="Times New Roman" w:cs="Times New Roman"/>
          <w:sz w:val="24"/>
          <w:szCs w:val="24"/>
        </w:rPr>
        <w:t>sık t(15;17)</w:t>
      </w:r>
      <w:r w:rsidR="00C04046">
        <w:rPr>
          <w:rFonts w:ascii="Times New Roman" w:hAnsi="Times New Roman" w:cs="Times New Roman"/>
          <w:sz w:val="24"/>
          <w:szCs w:val="24"/>
        </w:rPr>
        <w:t xml:space="preserve"> </w:t>
      </w:r>
      <w:r w:rsidR="00A46E90">
        <w:rPr>
          <w:rFonts w:ascii="Times New Roman" w:hAnsi="Times New Roman" w:cs="Times New Roman"/>
          <w:sz w:val="24"/>
          <w:szCs w:val="24"/>
        </w:rPr>
        <w:t xml:space="preserve">ile karakterizedir. </w:t>
      </w:r>
      <w:r w:rsidR="0053227E">
        <w:rPr>
          <w:rFonts w:ascii="Times New Roman" w:hAnsi="Times New Roman" w:cs="Times New Roman"/>
          <w:sz w:val="24"/>
          <w:szCs w:val="24"/>
        </w:rPr>
        <w:t xml:space="preserve">APL yaşamı </w:t>
      </w:r>
      <w:r w:rsidR="000458DC">
        <w:rPr>
          <w:rFonts w:ascii="Times New Roman" w:hAnsi="Times New Roman" w:cs="Times New Roman"/>
          <w:sz w:val="24"/>
          <w:szCs w:val="24"/>
        </w:rPr>
        <w:t>tehdit eden kanama r</w:t>
      </w:r>
      <w:r w:rsidR="0053227E">
        <w:rPr>
          <w:rFonts w:ascii="Times New Roman" w:hAnsi="Times New Roman" w:cs="Times New Roman"/>
          <w:sz w:val="24"/>
          <w:szCs w:val="24"/>
        </w:rPr>
        <w:t>i</w:t>
      </w:r>
      <w:r w:rsidR="000458DC">
        <w:rPr>
          <w:rFonts w:ascii="Times New Roman" w:hAnsi="Times New Roman" w:cs="Times New Roman"/>
          <w:sz w:val="24"/>
          <w:szCs w:val="24"/>
        </w:rPr>
        <w:t>s</w:t>
      </w:r>
      <w:r w:rsidR="0053227E">
        <w:rPr>
          <w:rFonts w:ascii="Times New Roman" w:hAnsi="Times New Roman" w:cs="Times New Roman"/>
          <w:sz w:val="24"/>
          <w:szCs w:val="24"/>
        </w:rPr>
        <w:t xml:space="preserve">ki nedeniyle tıbbi </w:t>
      </w:r>
      <w:r w:rsidR="00142997">
        <w:rPr>
          <w:rFonts w:ascii="Times New Roman" w:hAnsi="Times New Roman" w:cs="Times New Roman"/>
          <w:sz w:val="24"/>
          <w:szCs w:val="24"/>
        </w:rPr>
        <w:t>bir acildir ve ATRA tedavisine hemen başlanmalıdır.</w:t>
      </w:r>
      <w:r w:rsidR="00E71F88">
        <w:rPr>
          <w:rFonts w:ascii="Times New Roman" w:hAnsi="Times New Roman" w:cs="Times New Roman"/>
          <w:sz w:val="24"/>
          <w:szCs w:val="24"/>
        </w:rPr>
        <w:t xml:space="preserve"> Tanıda lökosit sayısı &gt;10.000/µL olan olgularda</w:t>
      </w:r>
      <w:r w:rsidR="00620955">
        <w:rPr>
          <w:rFonts w:ascii="Times New Roman" w:hAnsi="Times New Roman" w:cs="Times New Roman"/>
          <w:sz w:val="24"/>
          <w:szCs w:val="24"/>
        </w:rPr>
        <w:t xml:space="preserve"> ATRA ile birlikte </w:t>
      </w:r>
      <w:proofErr w:type="gramStart"/>
      <w:r w:rsidR="00620955">
        <w:rPr>
          <w:rFonts w:ascii="Times New Roman" w:hAnsi="Times New Roman" w:cs="Times New Roman"/>
          <w:sz w:val="24"/>
          <w:szCs w:val="24"/>
        </w:rPr>
        <w:t>kemoterapinin</w:t>
      </w:r>
      <w:proofErr w:type="gramEnd"/>
      <w:r w:rsidR="00E71F88">
        <w:rPr>
          <w:rFonts w:ascii="Times New Roman" w:hAnsi="Times New Roman" w:cs="Times New Roman"/>
          <w:sz w:val="24"/>
          <w:szCs w:val="24"/>
        </w:rPr>
        <w:t xml:space="preserve"> başlanması APL farklılaşma sendromunun</w:t>
      </w:r>
      <w:r w:rsidR="000458DC">
        <w:rPr>
          <w:rFonts w:ascii="Times New Roman" w:hAnsi="Times New Roman" w:cs="Times New Roman"/>
          <w:sz w:val="24"/>
          <w:szCs w:val="24"/>
        </w:rPr>
        <w:t xml:space="preserve"> (ateş, solunum sıkıntısı, kilo alımı, </w:t>
      </w:r>
      <w:proofErr w:type="spellStart"/>
      <w:r w:rsidR="000458DC">
        <w:rPr>
          <w:rFonts w:ascii="Times New Roman" w:hAnsi="Times New Roman" w:cs="Times New Roman"/>
          <w:sz w:val="24"/>
          <w:szCs w:val="24"/>
        </w:rPr>
        <w:t>plevral</w:t>
      </w:r>
      <w:proofErr w:type="spellEnd"/>
      <w:r w:rsidR="000458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458DC">
        <w:rPr>
          <w:rFonts w:ascii="Times New Roman" w:hAnsi="Times New Roman" w:cs="Times New Roman"/>
          <w:sz w:val="24"/>
          <w:szCs w:val="24"/>
        </w:rPr>
        <w:t>perikardiyal</w:t>
      </w:r>
      <w:proofErr w:type="spellEnd"/>
      <w:r w:rsidR="0004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8DC">
        <w:rPr>
          <w:rFonts w:ascii="Times New Roman" w:hAnsi="Times New Roman" w:cs="Times New Roman"/>
          <w:sz w:val="24"/>
          <w:szCs w:val="24"/>
        </w:rPr>
        <w:t>effüzyon</w:t>
      </w:r>
      <w:proofErr w:type="spellEnd"/>
      <w:r w:rsidR="000458DC">
        <w:rPr>
          <w:rFonts w:ascii="Times New Roman" w:hAnsi="Times New Roman" w:cs="Times New Roman"/>
          <w:sz w:val="24"/>
          <w:szCs w:val="24"/>
        </w:rPr>
        <w:t xml:space="preserve"> olabilir)</w:t>
      </w:r>
      <w:r w:rsidR="00E71F88">
        <w:rPr>
          <w:rFonts w:ascii="Times New Roman" w:hAnsi="Times New Roman" w:cs="Times New Roman"/>
          <w:sz w:val="24"/>
          <w:szCs w:val="24"/>
        </w:rPr>
        <w:t xml:space="preserve"> gelişme riskini azaltmaktadır.</w:t>
      </w:r>
      <w:r w:rsidR="000458DC">
        <w:rPr>
          <w:rFonts w:ascii="Times New Roman" w:hAnsi="Times New Roman" w:cs="Times New Roman"/>
          <w:sz w:val="24"/>
          <w:szCs w:val="24"/>
        </w:rPr>
        <w:t xml:space="preserve"> </w:t>
      </w:r>
      <w:r w:rsidR="001F32CB">
        <w:rPr>
          <w:rFonts w:ascii="Times New Roman" w:hAnsi="Times New Roman" w:cs="Times New Roman"/>
          <w:sz w:val="24"/>
          <w:szCs w:val="24"/>
        </w:rPr>
        <w:t xml:space="preserve">Başlangıçta ATRA ile %11 kadar çocukta görülen </w:t>
      </w:r>
      <w:proofErr w:type="spellStart"/>
      <w:r w:rsidR="001F32CB">
        <w:rPr>
          <w:rFonts w:ascii="Times New Roman" w:hAnsi="Times New Roman" w:cs="Times New Roman"/>
          <w:sz w:val="24"/>
          <w:szCs w:val="24"/>
        </w:rPr>
        <w:t>psödotümör</w:t>
      </w:r>
      <w:proofErr w:type="spellEnd"/>
      <w:r w:rsidR="001F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2CB">
        <w:rPr>
          <w:rFonts w:ascii="Times New Roman" w:hAnsi="Times New Roman" w:cs="Times New Roman"/>
          <w:sz w:val="24"/>
          <w:szCs w:val="24"/>
        </w:rPr>
        <w:t>serebri</w:t>
      </w:r>
      <w:proofErr w:type="spellEnd"/>
      <w:r w:rsidR="001F32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32CB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="001F32CB">
        <w:rPr>
          <w:rFonts w:ascii="Times New Roman" w:hAnsi="Times New Roman" w:cs="Times New Roman"/>
          <w:sz w:val="24"/>
          <w:szCs w:val="24"/>
        </w:rPr>
        <w:t xml:space="preserve"> ile tedavi edilebilir.</w:t>
      </w:r>
      <w:r w:rsidR="00E71F88">
        <w:rPr>
          <w:rFonts w:ascii="Times New Roman" w:hAnsi="Times New Roman" w:cs="Times New Roman"/>
          <w:sz w:val="24"/>
          <w:szCs w:val="24"/>
        </w:rPr>
        <w:t xml:space="preserve"> </w:t>
      </w:r>
      <w:r w:rsidR="00E21388">
        <w:rPr>
          <w:rFonts w:ascii="Times New Roman" w:hAnsi="Times New Roman" w:cs="Times New Roman"/>
          <w:sz w:val="24"/>
          <w:szCs w:val="24"/>
        </w:rPr>
        <w:t>Çocuklarda 25</w:t>
      </w:r>
      <w:r w:rsidR="00132805">
        <w:rPr>
          <w:rFonts w:ascii="Times New Roman" w:hAnsi="Times New Roman" w:cs="Times New Roman"/>
          <w:sz w:val="24"/>
          <w:szCs w:val="24"/>
        </w:rPr>
        <w:t xml:space="preserve"> </w:t>
      </w:r>
      <w:r w:rsidR="00E21388">
        <w:rPr>
          <w:rFonts w:ascii="Times New Roman" w:hAnsi="Times New Roman" w:cs="Times New Roman"/>
          <w:sz w:val="24"/>
          <w:szCs w:val="24"/>
        </w:rPr>
        <w:t>mg/m</w:t>
      </w:r>
      <w:r w:rsidR="00E21388" w:rsidRPr="00E213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1388">
        <w:rPr>
          <w:rFonts w:ascii="Times New Roman" w:hAnsi="Times New Roman" w:cs="Times New Roman"/>
          <w:sz w:val="24"/>
          <w:szCs w:val="24"/>
        </w:rPr>
        <w:t>/gün ATRA dozunun yeterli ve erişkinde kullanılan daha yüksek dozlara göre daha güvenli olduğu düşünülmektedir.</w:t>
      </w:r>
    </w:p>
    <w:p w:rsidR="00172B25" w:rsidRDefault="00172B25" w:rsidP="001C4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APL’de</w:t>
      </w:r>
      <w:proofErr w:type="spellEnd"/>
      <w:r w:rsidR="00AF5503">
        <w:rPr>
          <w:rFonts w:ascii="Times New Roman" w:hAnsi="Times New Roman" w:cs="Times New Roman"/>
          <w:sz w:val="24"/>
          <w:szCs w:val="24"/>
        </w:rPr>
        <w:t xml:space="preserve"> tedavi etkinliğini azaltmadan </w:t>
      </w:r>
      <w:proofErr w:type="gramStart"/>
      <w:r>
        <w:rPr>
          <w:rFonts w:ascii="Times New Roman" w:hAnsi="Times New Roman" w:cs="Times New Roman"/>
          <w:sz w:val="24"/>
          <w:szCs w:val="24"/>
        </w:rPr>
        <w:t>kümülatif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antrasiklin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dozlarının</w:t>
      </w:r>
      <w:r w:rsidR="00AF5503">
        <w:rPr>
          <w:rFonts w:ascii="Times New Roman" w:hAnsi="Times New Roman" w:cs="Times New Roman"/>
          <w:sz w:val="24"/>
          <w:szCs w:val="24"/>
        </w:rPr>
        <w:t xml:space="preserve"> düşürülmesine yönelik çalışmalar vardır.</w:t>
      </w:r>
    </w:p>
    <w:p w:rsidR="00172B25" w:rsidRDefault="00172B25" w:rsidP="001C4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97">
        <w:rPr>
          <w:rFonts w:ascii="Times New Roman" w:hAnsi="Times New Roman" w:cs="Times New Roman"/>
          <w:sz w:val="24"/>
          <w:szCs w:val="24"/>
        </w:rPr>
        <w:t xml:space="preserve">Yakın zamanda çocuklarda da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APL’de</w:t>
      </w:r>
      <w:proofErr w:type="spellEnd"/>
      <w:r w:rsidRPr="000B4497">
        <w:rPr>
          <w:rFonts w:ascii="Times New Roman" w:hAnsi="Times New Roman" w:cs="Times New Roman"/>
          <w:sz w:val="24"/>
          <w:szCs w:val="24"/>
        </w:rPr>
        <w:t xml:space="preserve"> ATRA ile birlikte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asenik</w:t>
      </w:r>
      <w:proofErr w:type="spellEnd"/>
      <w:r w:rsidRPr="000B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trioksitin</w:t>
      </w:r>
      <w:proofErr w:type="spellEnd"/>
      <w:r w:rsidRPr="000B4497">
        <w:rPr>
          <w:rFonts w:ascii="Times New Roman" w:hAnsi="Times New Roman" w:cs="Times New Roman"/>
          <w:sz w:val="24"/>
          <w:szCs w:val="24"/>
        </w:rPr>
        <w:t xml:space="preserve"> konvansiyonel </w:t>
      </w:r>
      <w:proofErr w:type="gramStart"/>
      <w:r w:rsidRPr="000B4497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0B4497">
        <w:rPr>
          <w:rFonts w:ascii="Times New Roman" w:hAnsi="Times New Roman" w:cs="Times New Roman"/>
          <w:sz w:val="24"/>
          <w:szCs w:val="24"/>
        </w:rPr>
        <w:t xml:space="preserve"> olmadan kullanıldığı de protokoller geliştirilmiştir.</w:t>
      </w:r>
    </w:p>
    <w:p w:rsidR="00F61982" w:rsidRPr="000B4497" w:rsidRDefault="00F61982" w:rsidP="001C4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53" w:rsidRDefault="007B5353" w:rsidP="001C45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53" w:rsidRDefault="007B5353" w:rsidP="001C45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B78" w:rsidRPr="000B4497" w:rsidRDefault="006F3AF9" w:rsidP="001C45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97">
        <w:rPr>
          <w:rFonts w:ascii="Times New Roman" w:hAnsi="Times New Roman" w:cs="Times New Roman"/>
          <w:b/>
          <w:sz w:val="24"/>
          <w:szCs w:val="24"/>
        </w:rPr>
        <w:lastRenderedPageBreak/>
        <w:t>Tedavi İlişkili AML</w:t>
      </w:r>
    </w:p>
    <w:p w:rsidR="00FB0B78" w:rsidRPr="002B6C3E" w:rsidRDefault="00295177" w:rsidP="001C4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D">
        <w:rPr>
          <w:rFonts w:ascii="Times New Roman" w:hAnsi="Times New Roman" w:cs="Times New Roman"/>
          <w:sz w:val="24"/>
          <w:szCs w:val="24"/>
        </w:rPr>
        <w:t xml:space="preserve">Tedavi ilişkili AML (t-AML) en sık görülen ikincil </w:t>
      </w:r>
      <w:proofErr w:type="spellStart"/>
      <w:r w:rsidRPr="0051695D">
        <w:rPr>
          <w:rFonts w:ascii="Times New Roman" w:hAnsi="Times New Roman" w:cs="Times New Roman"/>
          <w:sz w:val="24"/>
          <w:szCs w:val="24"/>
        </w:rPr>
        <w:t>malignitelerdendir</w:t>
      </w:r>
      <w:proofErr w:type="spellEnd"/>
      <w:r w:rsidRPr="0051695D">
        <w:rPr>
          <w:rFonts w:ascii="Times New Roman" w:hAnsi="Times New Roman" w:cs="Times New Roman"/>
          <w:sz w:val="24"/>
          <w:szCs w:val="24"/>
        </w:rPr>
        <w:t>.</w:t>
      </w:r>
      <w:r w:rsidR="00B779FA" w:rsidRPr="0051695D">
        <w:rPr>
          <w:rFonts w:ascii="Times New Roman" w:hAnsi="Times New Roman" w:cs="Times New Roman"/>
          <w:sz w:val="24"/>
          <w:szCs w:val="24"/>
        </w:rPr>
        <w:t xml:space="preserve"> </w:t>
      </w:r>
      <w:r w:rsidR="0036067B" w:rsidRPr="0051695D">
        <w:rPr>
          <w:rFonts w:ascii="Times New Roman" w:hAnsi="Times New Roman" w:cs="Times New Roman"/>
          <w:sz w:val="24"/>
          <w:szCs w:val="24"/>
        </w:rPr>
        <w:t xml:space="preserve">Sıklıkla </w:t>
      </w:r>
      <w:proofErr w:type="spellStart"/>
      <w:r w:rsidR="0036067B" w:rsidRPr="0051695D">
        <w:rPr>
          <w:rFonts w:ascii="Times New Roman" w:hAnsi="Times New Roman" w:cs="Times New Roman"/>
          <w:sz w:val="24"/>
          <w:szCs w:val="24"/>
        </w:rPr>
        <w:t>alkilleyici</w:t>
      </w:r>
      <w:proofErr w:type="spellEnd"/>
      <w:r w:rsidR="0036067B" w:rsidRPr="0051695D">
        <w:rPr>
          <w:rFonts w:ascii="Times New Roman" w:hAnsi="Times New Roman" w:cs="Times New Roman"/>
          <w:sz w:val="24"/>
          <w:szCs w:val="24"/>
        </w:rPr>
        <w:t xml:space="preserve"> ajan ve </w:t>
      </w:r>
      <w:proofErr w:type="spellStart"/>
      <w:r w:rsidR="0036067B" w:rsidRPr="0051695D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="0036067B" w:rsidRPr="0051695D">
        <w:rPr>
          <w:rFonts w:ascii="Times New Roman" w:hAnsi="Times New Roman" w:cs="Times New Roman"/>
          <w:sz w:val="24"/>
          <w:szCs w:val="24"/>
        </w:rPr>
        <w:t xml:space="preserve"> II inhibitörlerini içeren </w:t>
      </w:r>
      <w:proofErr w:type="gramStart"/>
      <w:r w:rsidR="0036067B" w:rsidRPr="0051695D">
        <w:rPr>
          <w:rFonts w:ascii="Times New Roman" w:hAnsi="Times New Roman" w:cs="Times New Roman"/>
          <w:sz w:val="24"/>
          <w:szCs w:val="24"/>
        </w:rPr>
        <w:t>kemoterapiyi</w:t>
      </w:r>
      <w:proofErr w:type="gramEnd"/>
      <w:r w:rsidR="0036067B" w:rsidRPr="0051695D">
        <w:rPr>
          <w:rFonts w:ascii="Times New Roman" w:hAnsi="Times New Roman" w:cs="Times New Roman"/>
          <w:sz w:val="24"/>
          <w:szCs w:val="24"/>
        </w:rPr>
        <w:t xml:space="preserve"> takiben gelişir.</w:t>
      </w:r>
      <w:r w:rsidR="0036067B" w:rsidRPr="00516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B1D" w:rsidRPr="0051695D">
        <w:rPr>
          <w:rFonts w:ascii="Times New Roman" w:hAnsi="Times New Roman" w:cs="Times New Roman"/>
          <w:i/>
          <w:sz w:val="24"/>
          <w:szCs w:val="24"/>
        </w:rPr>
        <w:t>MLL</w:t>
      </w:r>
      <w:r w:rsidR="000B4497" w:rsidRPr="0051695D">
        <w:rPr>
          <w:rFonts w:ascii="Times New Roman" w:hAnsi="Times New Roman" w:cs="Times New Roman"/>
          <w:sz w:val="24"/>
          <w:szCs w:val="24"/>
        </w:rPr>
        <w:t xml:space="preserve"> </w:t>
      </w:r>
      <w:r w:rsidR="004930EB" w:rsidRPr="0051695D">
        <w:rPr>
          <w:rFonts w:ascii="Times New Roman" w:hAnsi="Times New Roman" w:cs="Times New Roman"/>
          <w:sz w:val="24"/>
          <w:szCs w:val="24"/>
        </w:rPr>
        <w:t xml:space="preserve">yeniden düzenlenmesi ve </w:t>
      </w:r>
      <w:proofErr w:type="spellStart"/>
      <w:r w:rsidR="004930EB" w:rsidRPr="0051695D">
        <w:rPr>
          <w:rFonts w:ascii="Times New Roman" w:hAnsi="Times New Roman" w:cs="Times New Roman"/>
          <w:sz w:val="24"/>
          <w:szCs w:val="24"/>
        </w:rPr>
        <w:t>monozomi</w:t>
      </w:r>
      <w:proofErr w:type="spellEnd"/>
      <w:r w:rsidR="004930EB" w:rsidRPr="0051695D">
        <w:rPr>
          <w:rFonts w:ascii="Times New Roman" w:hAnsi="Times New Roman" w:cs="Times New Roman"/>
          <w:sz w:val="24"/>
          <w:szCs w:val="24"/>
        </w:rPr>
        <w:t xml:space="preserve"> 5 ve 7 görülebili</w:t>
      </w:r>
      <w:r w:rsidR="00001F07">
        <w:rPr>
          <w:rFonts w:ascii="Times New Roman" w:hAnsi="Times New Roman" w:cs="Times New Roman"/>
          <w:sz w:val="24"/>
          <w:szCs w:val="24"/>
        </w:rPr>
        <w:t xml:space="preserve">r.  Direnç ve önceki kemoterapiye ait </w:t>
      </w:r>
      <w:proofErr w:type="gramStart"/>
      <w:r w:rsidR="004930EB" w:rsidRPr="0051695D">
        <w:rPr>
          <w:rFonts w:ascii="Times New Roman" w:hAnsi="Times New Roman" w:cs="Times New Roman"/>
          <w:sz w:val="24"/>
          <w:szCs w:val="24"/>
        </w:rPr>
        <w:t>k</w:t>
      </w:r>
      <w:r w:rsidR="00001F07">
        <w:rPr>
          <w:rFonts w:ascii="Times New Roman" w:hAnsi="Times New Roman" w:cs="Times New Roman"/>
          <w:sz w:val="24"/>
          <w:szCs w:val="24"/>
        </w:rPr>
        <w:t>ümülatif</w:t>
      </w:r>
      <w:proofErr w:type="gramEnd"/>
      <w:r w:rsidR="000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07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001F07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spellStart"/>
      <w:r w:rsidR="00001F07">
        <w:rPr>
          <w:rFonts w:ascii="Times New Roman" w:hAnsi="Times New Roman" w:cs="Times New Roman"/>
          <w:sz w:val="24"/>
          <w:szCs w:val="24"/>
        </w:rPr>
        <w:t>pr</w:t>
      </w:r>
      <w:r w:rsidR="004930EB" w:rsidRPr="0051695D">
        <w:rPr>
          <w:rFonts w:ascii="Times New Roman" w:hAnsi="Times New Roman" w:cs="Times New Roman"/>
          <w:sz w:val="24"/>
          <w:szCs w:val="24"/>
        </w:rPr>
        <w:t>ognoz</w:t>
      </w:r>
      <w:proofErr w:type="spellEnd"/>
      <w:r w:rsidR="004930EB" w:rsidRPr="0051695D">
        <w:rPr>
          <w:rFonts w:ascii="Times New Roman" w:hAnsi="Times New Roman" w:cs="Times New Roman"/>
          <w:sz w:val="24"/>
          <w:szCs w:val="24"/>
        </w:rPr>
        <w:t xml:space="preserve"> genel olarak kötüdür. Bu hastalarda AML tipi iki indüksiyon bloğundan sonra </w:t>
      </w:r>
      <w:r w:rsidR="00BA7FE8" w:rsidRPr="0051695D">
        <w:rPr>
          <w:rFonts w:ascii="Times New Roman" w:hAnsi="Times New Roman" w:cs="Times New Roman"/>
          <w:sz w:val="24"/>
          <w:szCs w:val="24"/>
        </w:rPr>
        <w:t xml:space="preserve">sağlanabilirse ilk </w:t>
      </w:r>
      <w:proofErr w:type="spellStart"/>
      <w:r w:rsidR="004930EB" w:rsidRPr="0051695D">
        <w:rPr>
          <w:rFonts w:ascii="Times New Roman" w:hAnsi="Times New Roman" w:cs="Times New Roman"/>
          <w:sz w:val="24"/>
          <w:szCs w:val="24"/>
        </w:rPr>
        <w:t>remisyon</w:t>
      </w:r>
      <w:r w:rsidR="00BA7FE8" w:rsidRPr="0051695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930EB" w:rsidRPr="0051695D">
        <w:rPr>
          <w:rFonts w:ascii="Times New Roman" w:hAnsi="Times New Roman" w:cs="Times New Roman"/>
          <w:sz w:val="24"/>
          <w:szCs w:val="24"/>
        </w:rPr>
        <w:t xml:space="preserve"> HKHN uygulanmalıdır.</w:t>
      </w:r>
    </w:p>
    <w:p w:rsidR="005D3E54" w:rsidRDefault="005D3E54" w:rsidP="005169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B78" w:rsidRPr="0051695D" w:rsidRDefault="000B4497" w:rsidP="005169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5D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Pr="0051695D">
        <w:rPr>
          <w:rFonts w:ascii="Times New Roman" w:hAnsi="Times New Roman" w:cs="Times New Roman"/>
          <w:b/>
          <w:sz w:val="24"/>
          <w:szCs w:val="24"/>
        </w:rPr>
        <w:t xml:space="preserve"> Sendromu ve Diğer Genetik Hastalıklarda AML</w:t>
      </w:r>
    </w:p>
    <w:p w:rsidR="00FB0B78" w:rsidRPr="0051695D" w:rsidRDefault="000B4497" w:rsidP="005D3E5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Transient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lösemisi olan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Down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sendromlu</w:t>
      </w:r>
      <w:proofErr w:type="gram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(DS)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yenidoğanlarda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lösemik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tutuluma bağlı ağır klinik bulgular varsa destek tedavi ve gerekiyorsa düşük doz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sitarabin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verilmesi önerilir.</w:t>
      </w:r>
    </w:p>
    <w:p w:rsidR="00B344F8" w:rsidRPr="0051695D" w:rsidRDefault="000B4497" w:rsidP="005D3E5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Myeloid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lösemili-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DS’de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67955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(ML-DS)</w:t>
      </w:r>
      <w:r w:rsidR="005D3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ağır </w:t>
      </w:r>
      <w:proofErr w:type="gram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enfeksiyon</w:t>
      </w:r>
      <w:proofErr w:type="gram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riskinin yüksek olması nedeniyle azaltılmış yoğunluklu kemoterapi verilmelidir.</w:t>
      </w:r>
      <w:r w:rsidR="005D3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ML-</w:t>
      </w:r>
      <w:proofErr w:type="spellStart"/>
      <w:r w:rsidR="005D3E54">
        <w:rPr>
          <w:rFonts w:ascii="Times New Roman" w:hAnsi="Times New Roman" w:cs="Times New Roman"/>
          <w:iCs/>
          <w:color w:val="000000"/>
          <w:sz w:val="24"/>
          <w:szCs w:val="24"/>
        </w:rPr>
        <w:t>DS’de</w:t>
      </w:r>
      <w:proofErr w:type="spellEnd"/>
      <w:r w:rsidR="005D3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TR1’</w:t>
      </w:r>
      <w:r w:rsidR="00267955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HKHN </w:t>
      </w:r>
      <w:proofErr w:type="spellStart"/>
      <w:r w:rsidR="00267955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endikasyonu</w:t>
      </w:r>
      <w:proofErr w:type="spellEnd"/>
      <w:r w:rsidR="00267955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yoktur. </w:t>
      </w:r>
    </w:p>
    <w:p w:rsidR="00FB0B78" w:rsidRPr="0051695D" w:rsidRDefault="00B344F8" w:rsidP="005D3E5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Kromozom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frajilitesinin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yüksek olduğu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konjenital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sendromlarda</w:t>
      </w:r>
      <w:proofErr w:type="gram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(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Fanconi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anemisi,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Bloom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sendromu gibi) ve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miyelopoezin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konjenital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hastalıklarında (ağır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konjenital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nötropeniler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Diamond-Blackfan</w:t>
      </w:r>
      <w:proofErr w:type="spell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sendromu gibi) AML gelişme riski yüksektir. Bu hastalarda </w:t>
      </w:r>
      <w:proofErr w:type="gramStart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optimal</w:t>
      </w:r>
      <w:proofErr w:type="gramEnd"/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tedavi ve tedav</w:t>
      </w:r>
      <w:r w:rsidR="005D3E54">
        <w:rPr>
          <w:rFonts w:ascii="Times New Roman" w:hAnsi="Times New Roman" w:cs="Times New Roman"/>
          <w:iCs/>
          <w:color w:val="000000"/>
          <w:sz w:val="24"/>
          <w:szCs w:val="24"/>
        </w:rPr>
        <w:t>i yoğunluğu tam olarak belirlen</w:t>
      </w:r>
      <w:r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memiştir. </w:t>
      </w:r>
      <w:proofErr w:type="spellStart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>Fanconi</w:t>
      </w:r>
      <w:proofErr w:type="spellEnd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anemisi ve </w:t>
      </w:r>
      <w:proofErr w:type="spellStart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>konjenital</w:t>
      </w:r>
      <w:proofErr w:type="spellEnd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>nötropenide</w:t>
      </w:r>
      <w:proofErr w:type="spellEnd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>bla</w:t>
      </w:r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proofErr w:type="spell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redüksiyonunu hedefleyen </w:t>
      </w:r>
      <w:proofErr w:type="gramStart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kemoterapiden</w:t>
      </w:r>
      <w:proofErr w:type="gram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sonra </w:t>
      </w:r>
      <w:proofErr w:type="spellStart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allo</w:t>
      </w:r>
      <w:proofErr w:type="spell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-HKHN başarılı olabilir. </w:t>
      </w:r>
      <w:proofErr w:type="spellStart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Fanconi</w:t>
      </w:r>
      <w:proofErr w:type="spell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anemi</w:t>
      </w:r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sinde </w:t>
      </w:r>
      <w:proofErr w:type="spellStart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>alkilleyici</w:t>
      </w:r>
      <w:proofErr w:type="spellEnd"/>
      <w:r w:rsidR="00E375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ajanlar gibi </w:t>
      </w:r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DNA’da çapraz bağlama yapan </w:t>
      </w:r>
      <w:proofErr w:type="gramStart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kemoterapi</w:t>
      </w:r>
      <w:proofErr w:type="gram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ilaçları, yüksek </w:t>
      </w:r>
      <w:proofErr w:type="spellStart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>antrasiklin</w:t>
      </w:r>
      <w:proofErr w:type="spellEnd"/>
      <w:r w:rsidR="0051695D" w:rsidRPr="005169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dozları ve ışınlamadan kaçınılmalıdır.</w:t>
      </w:r>
    </w:p>
    <w:p w:rsidR="0051695D" w:rsidRPr="0051695D" w:rsidRDefault="0051695D" w:rsidP="0051695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1695D" w:rsidRPr="00D34471" w:rsidRDefault="0051695D" w:rsidP="00D34471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Relaps</w:t>
      </w:r>
      <w:proofErr w:type="spellEnd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ve </w:t>
      </w:r>
      <w:proofErr w:type="spellStart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Primer</w:t>
      </w:r>
      <w:proofErr w:type="spellEnd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Refrakter</w:t>
      </w:r>
      <w:proofErr w:type="spellEnd"/>
      <w:r w:rsidRPr="00D3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AML</w:t>
      </w:r>
    </w:p>
    <w:p w:rsidR="00511130" w:rsidRDefault="00A52DF7" w:rsidP="00D3447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AML olgularının yaklaşık %5’inde dirençli hastalık ve </w:t>
      </w:r>
      <w:r w:rsidR="00241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%30’unda </w:t>
      </w:r>
      <w:proofErr w:type="spellStart"/>
      <w:r w:rsidR="00241BE3">
        <w:rPr>
          <w:rFonts w:ascii="Times New Roman" w:hAnsi="Times New Roman" w:cs="Times New Roman"/>
          <w:iCs/>
          <w:color w:val="000000"/>
          <w:sz w:val="24"/>
          <w:szCs w:val="24"/>
        </w:rPr>
        <w:t>relaps</w:t>
      </w:r>
      <w:proofErr w:type="spellEnd"/>
      <w:r w:rsidR="00241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görülmektedir. </w:t>
      </w:r>
      <w:proofErr w:type="spellStart"/>
      <w:r w:rsidR="00241BE3">
        <w:rPr>
          <w:rFonts w:ascii="Times New Roman" w:hAnsi="Times New Roman" w:cs="Times New Roman"/>
          <w:iCs/>
          <w:color w:val="000000"/>
          <w:sz w:val="24"/>
          <w:szCs w:val="24"/>
        </w:rPr>
        <w:t>Relaps</w:t>
      </w:r>
      <w:proofErr w:type="spellEnd"/>
      <w:r w:rsidR="00241B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en sık kemik iliğinde </w:t>
      </w:r>
      <w:r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görülmektedir ve %10’</w:t>
      </w:r>
      <w:r w:rsidR="00843383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un</w:t>
      </w:r>
      <w:r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a MSS tutulumu da eşlik etmektedir.</w:t>
      </w:r>
      <w:r w:rsidR="009522AA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Relapsların</w:t>
      </w:r>
      <w:proofErr w:type="spellEnd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yaklaşık %50’’si ilk bir yıl içinde </w:t>
      </w:r>
      <w:r w:rsidR="00182A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ortaya çıkmaktadır. </w:t>
      </w:r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Genel olarak </w:t>
      </w:r>
      <w:proofErr w:type="spellStart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AML’de</w:t>
      </w:r>
      <w:proofErr w:type="spellEnd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relaps</w:t>
      </w:r>
      <w:proofErr w:type="spellEnd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>prognoz</w:t>
      </w:r>
      <w:r w:rsidR="00182A1C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proofErr w:type="spellEnd"/>
      <w:r w:rsidR="00831BDC" w:rsidRP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kötüdür.</w:t>
      </w:r>
      <w:r w:rsidR="00D344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Relapsta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ilk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reindüksiyon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</w:t>
      </w:r>
      <w:r w:rsidR="00824B7E">
        <w:rPr>
          <w:rFonts w:ascii="Times New Roman" w:hAnsi="Times New Roman" w:cs="Times New Roman"/>
          <w:iCs/>
          <w:color w:val="000000"/>
          <w:sz w:val="24"/>
          <w:szCs w:val="24"/>
        </w:rPr>
        <w:t>l</w:t>
      </w:r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oğundan sonraki tedavi yanıtının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prognozda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en önemli faktör olduğu gösterilmiştir. İlk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remisyonun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süresi ve CBF-AML olması da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relapsta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>prognozu</w:t>
      </w:r>
      <w:proofErr w:type="spellEnd"/>
      <w:r w:rsidR="00BB7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etkilemektedir.</w:t>
      </w:r>
    </w:p>
    <w:p w:rsidR="00A02AA7" w:rsidRPr="00D34471" w:rsidRDefault="00A02AA7" w:rsidP="00D34471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B0B78" w:rsidRDefault="00B140D1" w:rsidP="000B44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0D1">
        <w:rPr>
          <w:rFonts w:ascii="Times New Roman" w:hAnsi="Times New Roman" w:cs="Times New Roman"/>
          <w:b/>
          <w:sz w:val="24"/>
          <w:szCs w:val="24"/>
        </w:rPr>
        <w:t>Relaps</w:t>
      </w:r>
      <w:proofErr w:type="spellEnd"/>
      <w:r w:rsidRPr="00B14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0D1">
        <w:rPr>
          <w:rFonts w:ascii="Times New Roman" w:hAnsi="Times New Roman" w:cs="Times New Roman"/>
          <w:b/>
          <w:sz w:val="24"/>
          <w:szCs w:val="24"/>
        </w:rPr>
        <w:t>AML’de</w:t>
      </w:r>
      <w:proofErr w:type="spellEnd"/>
      <w:r w:rsidRPr="00B140D1">
        <w:rPr>
          <w:rFonts w:ascii="Times New Roman" w:hAnsi="Times New Roman" w:cs="Times New Roman"/>
          <w:b/>
          <w:sz w:val="24"/>
          <w:szCs w:val="24"/>
        </w:rPr>
        <w:t xml:space="preserve"> Güncel Tedaviler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40D1" w:rsidRDefault="00B91A6D" w:rsidP="00B91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D">
        <w:rPr>
          <w:rFonts w:ascii="Times New Roman" w:hAnsi="Times New Roman" w:cs="Times New Roman"/>
          <w:sz w:val="24"/>
          <w:szCs w:val="24"/>
        </w:rPr>
        <w:t xml:space="preserve">Ağırlıklı olarak </w:t>
      </w:r>
      <w:proofErr w:type="spellStart"/>
      <w:r w:rsidRPr="00B91A6D">
        <w:rPr>
          <w:rFonts w:ascii="Times New Roman" w:hAnsi="Times New Roman" w:cs="Times New Roman"/>
          <w:sz w:val="24"/>
          <w:szCs w:val="24"/>
        </w:rPr>
        <w:t>antimetabolit</w:t>
      </w:r>
      <w:proofErr w:type="spellEnd"/>
      <w:r w:rsidRPr="00B91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A6D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Pr="00B9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A6D">
        <w:rPr>
          <w:rFonts w:ascii="Times New Roman" w:hAnsi="Times New Roman" w:cs="Times New Roman"/>
          <w:sz w:val="24"/>
          <w:szCs w:val="24"/>
        </w:rPr>
        <w:t>fludarabin</w:t>
      </w:r>
      <w:proofErr w:type="spellEnd"/>
      <w:r w:rsidRPr="00B91A6D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B91A6D">
        <w:rPr>
          <w:rFonts w:ascii="Times New Roman" w:hAnsi="Times New Roman" w:cs="Times New Roman"/>
          <w:sz w:val="24"/>
          <w:szCs w:val="24"/>
        </w:rPr>
        <w:t>antrasiklin</w:t>
      </w:r>
      <w:proofErr w:type="spellEnd"/>
      <w:r w:rsidRPr="00B91A6D">
        <w:rPr>
          <w:rFonts w:ascii="Times New Roman" w:hAnsi="Times New Roman" w:cs="Times New Roman"/>
          <w:sz w:val="24"/>
          <w:szCs w:val="24"/>
        </w:rPr>
        <w:t xml:space="preserve"> temelli yaklaşımlar kullanılmaktadır.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1DB">
        <w:rPr>
          <w:rFonts w:ascii="Times New Roman" w:hAnsi="Times New Roman" w:cs="Times New Roman"/>
          <w:sz w:val="24"/>
          <w:szCs w:val="24"/>
        </w:rPr>
        <w:t xml:space="preserve">Yoğun tedaviyi kaldırabilecek tüm çocuklar ve </w:t>
      </w:r>
      <w:proofErr w:type="spellStart"/>
      <w:r w:rsidR="003131DB">
        <w:rPr>
          <w:rFonts w:ascii="Times New Roman" w:hAnsi="Times New Roman" w:cs="Times New Roman"/>
          <w:sz w:val="24"/>
          <w:szCs w:val="24"/>
        </w:rPr>
        <w:t>adolesanlara</w:t>
      </w:r>
      <w:proofErr w:type="spellEnd"/>
      <w:r w:rsidR="0031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1DB">
        <w:rPr>
          <w:rFonts w:ascii="Times New Roman" w:hAnsi="Times New Roman" w:cs="Times New Roman"/>
          <w:sz w:val="24"/>
          <w:szCs w:val="24"/>
        </w:rPr>
        <w:t>reindüksiyon</w:t>
      </w:r>
      <w:proofErr w:type="spellEnd"/>
      <w:r w:rsidR="003131DB">
        <w:rPr>
          <w:rFonts w:ascii="Times New Roman" w:hAnsi="Times New Roman" w:cs="Times New Roman"/>
          <w:sz w:val="24"/>
          <w:szCs w:val="24"/>
        </w:rPr>
        <w:t xml:space="preserve"> tedavisi verilmesi önerilmektedir. </w:t>
      </w:r>
      <w:r w:rsidR="00894176">
        <w:rPr>
          <w:rFonts w:ascii="Times New Roman" w:hAnsi="Times New Roman" w:cs="Times New Roman"/>
          <w:sz w:val="24"/>
          <w:szCs w:val="24"/>
        </w:rPr>
        <w:t>AML2001/01 çalışması</w:t>
      </w:r>
      <w:r w:rsidR="00511130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="00511130">
        <w:rPr>
          <w:rFonts w:ascii="Times New Roman" w:hAnsi="Times New Roman" w:cs="Times New Roman"/>
          <w:sz w:val="24"/>
          <w:szCs w:val="24"/>
        </w:rPr>
        <w:t>fludarabin</w:t>
      </w:r>
      <w:proofErr w:type="spellEnd"/>
      <w:r w:rsidR="005111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130"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 w:rsidR="00511130">
        <w:rPr>
          <w:rFonts w:ascii="Times New Roman" w:hAnsi="Times New Roman" w:cs="Times New Roman"/>
          <w:sz w:val="24"/>
          <w:szCs w:val="24"/>
        </w:rPr>
        <w:t xml:space="preserve">/G-CSF </w:t>
      </w:r>
      <w:proofErr w:type="gramStart"/>
      <w:r w:rsidR="00511130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="00511130">
        <w:rPr>
          <w:rFonts w:ascii="Times New Roman" w:hAnsi="Times New Roman" w:cs="Times New Roman"/>
          <w:sz w:val="24"/>
          <w:szCs w:val="24"/>
        </w:rPr>
        <w:t xml:space="preserve"> ve bu tedaviye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lipozomal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daunorubisinin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eklenmesi ile yapılan karşılaş</w:t>
      </w:r>
      <w:r w:rsidR="00B420A2">
        <w:rPr>
          <w:rFonts w:ascii="Times New Roman" w:hAnsi="Times New Roman" w:cs="Times New Roman"/>
          <w:sz w:val="24"/>
          <w:szCs w:val="24"/>
        </w:rPr>
        <w:t>tırmada sırasıyla %59 ve %69</w:t>
      </w:r>
      <w:r w:rsidR="00894176">
        <w:rPr>
          <w:rFonts w:ascii="Times New Roman" w:hAnsi="Times New Roman" w:cs="Times New Roman"/>
          <w:sz w:val="24"/>
          <w:szCs w:val="24"/>
        </w:rPr>
        <w:t xml:space="preserve"> TR2 elde edilmiş ve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oranı tüm hastalarda %38 olmuştur. TR2 </w:t>
      </w:r>
      <w:r w:rsidR="00894176">
        <w:rPr>
          <w:rFonts w:ascii="Times New Roman" w:hAnsi="Times New Roman" w:cs="Times New Roman"/>
          <w:sz w:val="24"/>
          <w:szCs w:val="24"/>
        </w:rPr>
        <w:lastRenderedPageBreak/>
        <w:t xml:space="preserve">elde edilebilen tüm çocuklara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-HKHN yapılması önerilmektedir. İlk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reindüksiyon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tedavisine yanıt</w:t>
      </w:r>
      <w:r w:rsidR="00A02AA7">
        <w:rPr>
          <w:rFonts w:ascii="Times New Roman" w:hAnsi="Times New Roman" w:cs="Times New Roman"/>
          <w:sz w:val="24"/>
          <w:szCs w:val="24"/>
        </w:rPr>
        <w:t xml:space="preserve">ı olmayan, </w:t>
      </w:r>
      <w:r w:rsidR="00894176">
        <w:rPr>
          <w:rFonts w:ascii="Times New Roman" w:hAnsi="Times New Roman" w:cs="Times New Roman"/>
          <w:sz w:val="24"/>
          <w:szCs w:val="24"/>
        </w:rPr>
        <w:t xml:space="preserve"> TR elde edilemeyen ve ikinci kez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relaps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yapan hastalarda deneysel tedaviler uygulanabilir.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Blast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varlığında nakil yapılan olgular ile ilgili veri çok sınırlı olmakla birlikte </w:t>
      </w:r>
      <w:proofErr w:type="spellStart"/>
      <w:r w:rsidR="00894176">
        <w:rPr>
          <w:rFonts w:ascii="Times New Roman" w:hAnsi="Times New Roman" w:cs="Times New Roman"/>
          <w:sz w:val="24"/>
          <w:szCs w:val="24"/>
        </w:rPr>
        <w:t>prognoz</w:t>
      </w:r>
      <w:proofErr w:type="spellEnd"/>
      <w:r w:rsidR="00894176">
        <w:rPr>
          <w:rFonts w:ascii="Times New Roman" w:hAnsi="Times New Roman" w:cs="Times New Roman"/>
          <w:sz w:val="24"/>
          <w:szCs w:val="24"/>
        </w:rPr>
        <w:t xml:space="preserve"> genel olarak kötüdür.</w:t>
      </w:r>
    </w:p>
    <w:p w:rsidR="00DA448B" w:rsidRDefault="00DA448B" w:rsidP="00B91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seçenekler içinde tek başına veya başka ajanlarla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şeklinde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gemtuzumab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ozogamisin</w:t>
      </w:r>
      <w:proofErr w:type="spellEnd"/>
      <w:r w:rsidR="00143503">
        <w:rPr>
          <w:rFonts w:ascii="Times New Roman" w:hAnsi="Times New Roman" w:cs="Times New Roman"/>
          <w:sz w:val="24"/>
          <w:szCs w:val="24"/>
        </w:rPr>
        <w:t xml:space="preserve"> (GO)</w:t>
      </w:r>
      <w:r>
        <w:rPr>
          <w:rFonts w:ascii="Times New Roman" w:hAnsi="Times New Roman" w:cs="Times New Roman"/>
          <w:sz w:val="24"/>
          <w:szCs w:val="24"/>
        </w:rPr>
        <w:t xml:space="preserve"> bulunmaktadır.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klofarabin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lipozomal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daunorubisin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3503">
        <w:rPr>
          <w:rFonts w:ascii="Times New Roman" w:hAnsi="Times New Roman" w:cs="Times New Roman"/>
          <w:sz w:val="24"/>
          <w:szCs w:val="24"/>
        </w:rPr>
        <w:t>siklofosfamid</w:t>
      </w:r>
      <w:proofErr w:type="spellEnd"/>
      <w:r w:rsidR="00143503">
        <w:rPr>
          <w:rFonts w:ascii="Times New Roman" w:hAnsi="Times New Roman" w:cs="Times New Roman"/>
          <w:sz w:val="24"/>
          <w:szCs w:val="24"/>
        </w:rPr>
        <w:t xml:space="preserve"> ile de sırasıyla </w:t>
      </w:r>
      <w:r>
        <w:rPr>
          <w:rFonts w:ascii="Times New Roman" w:hAnsi="Times New Roman" w:cs="Times New Roman"/>
          <w:sz w:val="24"/>
          <w:szCs w:val="24"/>
        </w:rPr>
        <w:t xml:space="preserve">%26 ve %38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oranı elde edildiği bildirilmiştir.</w:t>
      </w:r>
    </w:p>
    <w:p w:rsidR="00DA448B" w:rsidRDefault="00DA448B" w:rsidP="00B91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8B" w:rsidRPr="00690230" w:rsidRDefault="00DA448B" w:rsidP="001435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230">
        <w:rPr>
          <w:rFonts w:ascii="Times New Roman" w:hAnsi="Times New Roman" w:cs="Times New Roman"/>
          <w:b/>
          <w:sz w:val="24"/>
          <w:szCs w:val="24"/>
        </w:rPr>
        <w:t>AML’de</w:t>
      </w:r>
      <w:proofErr w:type="spellEnd"/>
      <w:r w:rsidRPr="00690230">
        <w:rPr>
          <w:rFonts w:ascii="Times New Roman" w:hAnsi="Times New Roman" w:cs="Times New Roman"/>
          <w:b/>
          <w:sz w:val="24"/>
          <w:szCs w:val="24"/>
        </w:rPr>
        <w:t xml:space="preserve"> Yeni Tedavi Yaklaşımları</w:t>
      </w:r>
    </w:p>
    <w:p w:rsidR="00DA448B" w:rsidRPr="00B91A6D" w:rsidRDefault="00143503" w:rsidP="00143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503">
        <w:rPr>
          <w:rFonts w:ascii="Times New Roman" w:hAnsi="Times New Roman" w:cs="Times New Roman"/>
          <w:b/>
          <w:sz w:val="24"/>
          <w:szCs w:val="24"/>
        </w:rPr>
        <w:t>Gemtuzumab</w:t>
      </w:r>
      <w:proofErr w:type="spellEnd"/>
      <w:r w:rsidRPr="00143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503">
        <w:rPr>
          <w:rFonts w:ascii="Times New Roman" w:hAnsi="Times New Roman" w:cs="Times New Roman"/>
          <w:b/>
          <w:sz w:val="24"/>
          <w:szCs w:val="24"/>
        </w:rPr>
        <w:t>ozogamisin</w:t>
      </w:r>
      <w:proofErr w:type="spellEnd"/>
      <w:r w:rsidRPr="001435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A99">
        <w:rPr>
          <w:rFonts w:ascii="Times New Roman" w:hAnsi="Times New Roman" w:cs="Times New Roman"/>
          <w:sz w:val="24"/>
          <w:szCs w:val="24"/>
        </w:rPr>
        <w:t xml:space="preserve">Erişkin AML deneyiminin daha çok olduğu </w:t>
      </w:r>
      <w:r>
        <w:rPr>
          <w:rFonts w:ascii="Times New Roman" w:hAnsi="Times New Roman" w:cs="Times New Roman"/>
          <w:sz w:val="24"/>
          <w:szCs w:val="24"/>
        </w:rPr>
        <w:t xml:space="preserve">CD33 antikoru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r w:rsidR="00726A99">
        <w:rPr>
          <w:rFonts w:ascii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çocukluk çağı</w:t>
      </w:r>
      <w:r w:rsidR="007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99">
        <w:rPr>
          <w:rFonts w:ascii="Times New Roman" w:hAnsi="Times New Roman" w:cs="Times New Roman"/>
          <w:sz w:val="24"/>
          <w:szCs w:val="24"/>
        </w:rPr>
        <w:t>AML’sinde</w:t>
      </w:r>
      <w:proofErr w:type="spellEnd"/>
      <w:r w:rsidR="00726A99">
        <w:rPr>
          <w:rFonts w:ascii="Times New Roman" w:hAnsi="Times New Roman" w:cs="Times New Roman"/>
          <w:sz w:val="24"/>
          <w:szCs w:val="24"/>
        </w:rPr>
        <w:t xml:space="preserve"> </w:t>
      </w:r>
      <w:r w:rsidR="00A81A8F">
        <w:rPr>
          <w:rFonts w:ascii="Times New Roman" w:hAnsi="Times New Roman" w:cs="Times New Roman"/>
          <w:sz w:val="24"/>
          <w:szCs w:val="24"/>
        </w:rPr>
        <w:t xml:space="preserve">özellikle </w:t>
      </w:r>
      <w:proofErr w:type="spellStart"/>
      <w:r w:rsidR="00726A99">
        <w:rPr>
          <w:rFonts w:ascii="Times New Roman" w:hAnsi="Times New Roman" w:cs="Times New Roman"/>
          <w:sz w:val="24"/>
          <w:szCs w:val="24"/>
        </w:rPr>
        <w:t>relaps</w:t>
      </w:r>
      <w:proofErr w:type="spellEnd"/>
      <w:r w:rsidR="00A81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1A8F">
        <w:rPr>
          <w:rFonts w:ascii="Times New Roman" w:hAnsi="Times New Roman" w:cs="Times New Roman"/>
          <w:sz w:val="24"/>
          <w:szCs w:val="24"/>
        </w:rPr>
        <w:t>refrakter</w:t>
      </w:r>
      <w:proofErr w:type="spellEnd"/>
      <w:r w:rsidR="00A81A8F">
        <w:rPr>
          <w:rFonts w:ascii="Times New Roman" w:hAnsi="Times New Roman" w:cs="Times New Roman"/>
          <w:sz w:val="24"/>
          <w:szCs w:val="24"/>
        </w:rPr>
        <w:t xml:space="preserve"> AML</w:t>
      </w:r>
      <w:r w:rsidR="00726A99">
        <w:rPr>
          <w:rFonts w:ascii="Times New Roman" w:hAnsi="Times New Roman" w:cs="Times New Roman"/>
          <w:sz w:val="24"/>
          <w:szCs w:val="24"/>
        </w:rPr>
        <w:t xml:space="preserve"> tedavisinde </w:t>
      </w:r>
      <w:r w:rsidR="00A81A8F">
        <w:rPr>
          <w:rFonts w:ascii="Times New Roman" w:hAnsi="Times New Roman" w:cs="Times New Roman"/>
          <w:sz w:val="24"/>
          <w:szCs w:val="24"/>
        </w:rPr>
        <w:t>etkinlik gösterebildiği</w:t>
      </w:r>
      <w:r w:rsidR="00726A99">
        <w:rPr>
          <w:rFonts w:ascii="Times New Roman" w:hAnsi="Times New Roman" w:cs="Times New Roman"/>
          <w:sz w:val="24"/>
          <w:szCs w:val="24"/>
        </w:rPr>
        <w:t xml:space="preserve"> bildirilmiştir. </w:t>
      </w:r>
      <w:proofErr w:type="spellStart"/>
      <w:r w:rsidR="00726A99">
        <w:rPr>
          <w:rFonts w:ascii="Times New Roman" w:hAnsi="Times New Roman" w:cs="Times New Roman"/>
          <w:sz w:val="24"/>
          <w:szCs w:val="24"/>
        </w:rPr>
        <w:t>Miyelosupresyon</w:t>
      </w:r>
      <w:proofErr w:type="spellEnd"/>
      <w:r w:rsidR="00726A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6A99">
        <w:rPr>
          <w:rFonts w:ascii="Times New Roman" w:hAnsi="Times New Roman" w:cs="Times New Roman"/>
          <w:sz w:val="24"/>
          <w:szCs w:val="24"/>
        </w:rPr>
        <w:t>veno-oklüzif</w:t>
      </w:r>
      <w:proofErr w:type="spellEnd"/>
      <w:r w:rsidR="00726A99">
        <w:rPr>
          <w:rFonts w:ascii="Times New Roman" w:hAnsi="Times New Roman" w:cs="Times New Roman"/>
          <w:sz w:val="24"/>
          <w:szCs w:val="24"/>
        </w:rPr>
        <w:t xml:space="preserve"> hastalık şeklinde önemli yan etkileri görülebilmektedir.</w:t>
      </w:r>
    </w:p>
    <w:p w:rsidR="00143503" w:rsidRDefault="00143503" w:rsidP="00143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503">
        <w:rPr>
          <w:rFonts w:ascii="Times New Roman" w:hAnsi="Times New Roman" w:cs="Times New Roman"/>
          <w:b/>
          <w:sz w:val="24"/>
          <w:szCs w:val="24"/>
        </w:rPr>
        <w:t>Tirozin</w:t>
      </w:r>
      <w:proofErr w:type="spellEnd"/>
      <w:r w:rsidRPr="00143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503">
        <w:rPr>
          <w:rFonts w:ascii="Times New Roman" w:hAnsi="Times New Roman" w:cs="Times New Roman"/>
          <w:b/>
          <w:sz w:val="24"/>
          <w:szCs w:val="24"/>
        </w:rPr>
        <w:t>kinaz</w:t>
      </w:r>
      <w:proofErr w:type="spellEnd"/>
      <w:r w:rsidRPr="00143503">
        <w:rPr>
          <w:rFonts w:ascii="Times New Roman" w:hAnsi="Times New Roman" w:cs="Times New Roman"/>
          <w:b/>
          <w:sz w:val="24"/>
          <w:szCs w:val="24"/>
        </w:rPr>
        <w:t xml:space="preserve"> inhibitörleri:</w:t>
      </w:r>
    </w:p>
    <w:p w:rsidR="00143503" w:rsidRDefault="00143503" w:rsidP="00143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</w:t>
      </w:r>
      <w:r w:rsidR="00BB7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aktive edici </w:t>
      </w:r>
      <w:r w:rsidRPr="00143503">
        <w:rPr>
          <w:rFonts w:ascii="Times New Roman" w:hAnsi="Times New Roman" w:cs="Times New Roman"/>
          <w:i/>
          <w:sz w:val="24"/>
          <w:szCs w:val="24"/>
        </w:rPr>
        <w:t xml:space="preserve">FLT3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r w:rsidRPr="00143503">
        <w:rPr>
          <w:rFonts w:ascii="Times New Roman" w:hAnsi="Times New Roman" w:cs="Times New Roman"/>
          <w:i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 mutasyonları olan AML hastaları hedefe yönelik tedavi uygulanması için adaydırlar. </w:t>
      </w:r>
      <w:r w:rsidRPr="00143503">
        <w:rPr>
          <w:rFonts w:ascii="Times New Roman" w:hAnsi="Times New Roman" w:cs="Times New Roman"/>
          <w:i/>
          <w:sz w:val="24"/>
          <w:szCs w:val="24"/>
        </w:rPr>
        <w:t>FLT3</w:t>
      </w:r>
      <w:r>
        <w:rPr>
          <w:rFonts w:ascii="Times New Roman" w:hAnsi="Times New Roman" w:cs="Times New Roman"/>
          <w:sz w:val="24"/>
          <w:szCs w:val="24"/>
        </w:rPr>
        <w:t xml:space="preserve">-ITD’li hastalarda konvansiyonel </w:t>
      </w:r>
      <w:proofErr w:type="gramStart"/>
      <w:r>
        <w:rPr>
          <w:rFonts w:ascii="Times New Roman" w:hAnsi="Times New Roman" w:cs="Times New Roman"/>
          <w:sz w:val="24"/>
          <w:szCs w:val="24"/>
        </w:rPr>
        <w:t>kemoterapiye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sorafenib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eklenmesinin etkili olduğu gösterilmiştir.</w:t>
      </w:r>
    </w:p>
    <w:p w:rsidR="00143503" w:rsidRDefault="00143503" w:rsidP="000B4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503" w:rsidRDefault="00143503" w:rsidP="000B4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A6F" w:rsidRDefault="00C80A6F" w:rsidP="00C80A6F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6E06E3" w:rsidRPr="00C80A6F" w:rsidRDefault="006E06E3" w:rsidP="000B449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06E3" w:rsidRPr="00C8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æ¯Â'E8ÔˇøàÎ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ßÀE'E8ÔˇøàÎ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ı'E8ÔˇøàÎ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2ÙÂ'E8ÔˇøàÎ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2DA"/>
    <w:multiLevelType w:val="hybridMultilevel"/>
    <w:tmpl w:val="845E86AC"/>
    <w:lvl w:ilvl="0" w:tplc="B16E58D0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5959"/>
    <w:multiLevelType w:val="multilevel"/>
    <w:tmpl w:val="F3F6C8DE"/>
    <w:lvl w:ilvl="0">
      <w:start w:val="72"/>
      <w:numFmt w:val="decimal"/>
      <w:lvlText w:val="%1"/>
      <w:lvlJc w:val="left"/>
      <w:pPr>
        <w:ind w:left="130" w:hanging="45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" w:hanging="459"/>
      </w:pPr>
      <w:rPr>
        <w:rFonts w:ascii="Trebuchet MS" w:eastAsia="Trebuchet MS" w:hAnsi="Trebuchet MS" w:cs="Trebuchet MS" w:hint="default"/>
        <w:color w:val="231F20"/>
        <w:spacing w:val="0"/>
        <w:w w:val="101"/>
        <w:sz w:val="17"/>
        <w:szCs w:val="17"/>
      </w:rPr>
    </w:lvl>
    <w:lvl w:ilvl="2">
      <w:start w:val="1"/>
      <w:numFmt w:val="decimal"/>
      <w:lvlText w:val="%3."/>
      <w:lvlJc w:val="left"/>
      <w:pPr>
        <w:ind w:left="534" w:hanging="284"/>
        <w:jc w:val="right"/>
      </w:pPr>
      <w:rPr>
        <w:rFonts w:ascii="Trebuchet MS" w:eastAsia="Trebuchet MS" w:hAnsi="Trebuchet MS" w:cs="Trebuchet MS" w:hint="default"/>
        <w:color w:val="231F20"/>
        <w:spacing w:val="0"/>
        <w:w w:val="95"/>
        <w:sz w:val="16"/>
        <w:szCs w:val="16"/>
      </w:rPr>
    </w:lvl>
    <w:lvl w:ilvl="3">
      <w:numFmt w:val="bullet"/>
      <w:lvlText w:val=""/>
      <w:lvlJc w:val="left"/>
      <w:pPr>
        <w:ind w:left="817" w:hanging="284"/>
      </w:pPr>
      <w:rPr>
        <w:rFonts w:ascii="Wingdings" w:eastAsia="Wingdings" w:hAnsi="Wingdings" w:cs="Wingdings" w:hint="default"/>
        <w:color w:val="F15A40"/>
        <w:w w:val="260"/>
        <w:sz w:val="12"/>
        <w:szCs w:val="12"/>
      </w:rPr>
    </w:lvl>
    <w:lvl w:ilvl="4">
      <w:numFmt w:val="bullet"/>
      <w:lvlText w:val=""/>
      <w:lvlJc w:val="left"/>
      <w:pPr>
        <w:ind w:left="930" w:hanging="284"/>
      </w:pPr>
      <w:rPr>
        <w:rFonts w:ascii="Wingdings" w:eastAsia="Wingdings" w:hAnsi="Wingdings" w:cs="Wingdings" w:hint="default"/>
        <w:color w:val="F15A40"/>
        <w:w w:val="260"/>
        <w:sz w:val="12"/>
        <w:szCs w:val="12"/>
      </w:rPr>
    </w:lvl>
    <w:lvl w:ilvl="5">
      <w:numFmt w:val="bullet"/>
      <w:lvlText w:val="•"/>
      <w:lvlJc w:val="left"/>
      <w:pPr>
        <w:ind w:left="2603" w:hanging="284"/>
      </w:pPr>
      <w:rPr>
        <w:rFonts w:hint="default"/>
      </w:rPr>
    </w:lvl>
    <w:lvl w:ilvl="6">
      <w:numFmt w:val="bullet"/>
      <w:lvlText w:val="•"/>
      <w:lvlJc w:val="left"/>
      <w:pPr>
        <w:ind w:left="3435" w:hanging="284"/>
      </w:pPr>
      <w:rPr>
        <w:rFonts w:hint="default"/>
      </w:rPr>
    </w:lvl>
    <w:lvl w:ilvl="7">
      <w:numFmt w:val="bullet"/>
      <w:lvlText w:val="•"/>
      <w:lvlJc w:val="left"/>
      <w:pPr>
        <w:ind w:left="4267" w:hanging="284"/>
      </w:pPr>
      <w:rPr>
        <w:rFonts w:hint="default"/>
      </w:rPr>
    </w:lvl>
    <w:lvl w:ilvl="8">
      <w:numFmt w:val="bullet"/>
      <w:lvlText w:val="•"/>
      <w:lvlJc w:val="left"/>
      <w:pPr>
        <w:ind w:left="5099" w:hanging="284"/>
      </w:pPr>
      <w:rPr>
        <w:rFonts w:hint="default"/>
      </w:rPr>
    </w:lvl>
  </w:abstractNum>
  <w:abstractNum w:abstractNumId="2" w15:restartNumberingAfterBreak="0">
    <w:nsid w:val="3EAC06E3"/>
    <w:multiLevelType w:val="hybridMultilevel"/>
    <w:tmpl w:val="9EAA556E"/>
    <w:lvl w:ilvl="0" w:tplc="CA5A6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E3"/>
    <w:rsid w:val="00001F07"/>
    <w:rsid w:val="000029AF"/>
    <w:rsid w:val="00006102"/>
    <w:rsid w:val="000458DC"/>
    <w:rsid w:val="00066BD9"/>
    <w:rsid w:val="0007646C"/>
    <w:rsid w:val="0008332F"/>
    <w:rsid w:val="000912F0"/>
    <w:rsid w:val="000B4497"/>
    <w:rsid w:val="000C1089"/>
    <w:rsid w:val="000E22D4"/>
    <w:rsid w:val="000E4170"/>
    <w:rsid w:val="000E7CBE"/>
    <w:rsid w:val="000F5BC2"/>
    <w:rsid w:val="000F79B6"/>
    <w:rsid w:val="001013A5"/>
    <w:rsid w:val="00116F79"/>
    <w:rsid w:val="00123CF5"/>
    <w:rsid w:val="00132805"/>
    <w:rsid w:val="00142997"/>
    <w:rsid w:val="00143503"/>
    <w:rsid w:val="0014560E"/>
    <w:rsid w:val="00152981"/>
    <w:rsid w:val="00154290"/>
    <w:rsid w:val="00155348"/>
    <w:rsid w:val="00165CFC"/>
    <w:rsid w:val="00172B25"/>
    <w:rsid w:val="001743BC"/>
    <w:rsid w:val="00182A1C"/>
    <w:rsid w:val="00182DB1"/>
    <w:rsid w:val="001C457B"/>
    <w:rsid w:val="001E09E9"/>
    <w:rsid w:val="001E5132"/>
    <w:rsid w:val="001E669D"/>
    <w:rsid w:val="001F0C37"/>
    <w:rsid w:val="001F1533"/>
    <w:rsid w:val="001F30EA"/>
    <w:rsid w:val="001F32CB"/>
    <w:rsid w:val="001F5268"/>
    <w:rsid w:val="00200337"/>
    <w:rsid w:val="00212E43"/>
    <w:rsid w:val="00224036"/>
    <w:rsid w:val="00224DE9"/>
    <w:rsid w:val="0023202D"/>
    <w:rsid w:val="00233CF8"/>
    <w:rsid w:val="00236EAD"/>
    <w:rsid w:val="00237038"/>
    <w:rsid w:val="00241BE3"/>
    <w:rsid w:val="00257C16"/>
    <w:rsid w:val="002600E3"/>
    <w:rsid w:val="0026718C"/>
    <w:rsid w:val="00267955"/>
    <w:rsid w:val="00267F37"/>
    <w:rsid w:val="002875F7"/>
    <w:rsid w:val="00295177"/>
    <w:rsid w:val="002A205A"/>
    <w:rsid w:val="002A6A52"/>
    <w:rsid w:val="002B5BA4"/>
    <w:rsid w:val="002B6C3E"/>
    <w:rsid w:val="002F2CAE"/>
    <w:rsid w:val="002F648B"/>
    <w:rsid w:val="002F7EC0"/>
    <w:rsid w:val="003131DB"/>
    <w:rsid w:val="00313D25"/>
    <w:rsid w:val="0032471C"/>
    <w:rsid w:val="00327648"/>
    <w:rsid w:val="003421E0"/>
    <w:rsid w:val="00345CC2"/>
    <w:rsid w:val="00350DF4"/>
    <w:rsid w:val="0036067B"/>
    <w:rsid w:val="003636FC"/>
    <w:rsid w:val="00382793"/>
    <w:rsid w:val="0039279F"/>
    <w:rsid w:val="003B3949"/>
    <w:rsid w:val="003C1852"/>
    <w:rsid w:val="003D752D"/>
    <w:rsid w:val="003E56F5"/>
    <w:rsid w:val="003E7A59"/>
    <w:rsid w:val="00405540"/>
    <w:rsid w:val="00426795"/>
    <w:rsid w:val="00436842"/>
    <w:rsid w:val="00447987"/>
    <w:rsid w:val="00453F2B"/>
    <w:rsid w:val="004670FF"/>
    <w:rsid w:val="004814F9"/>
    <w:rsid w:val="00493060"/>
    <w:rsid w:val="004930EB"/>
    <w:rsid w:val="004A1B0A"/>
    <w:rsid w:val="004A477E"/>
    <w:rsid w:val="004C61EA"/>
    <w:rsid w:val="004D4528"/>
    <w:rsid w:val="005041D6"/>
    <w:rsid w:val="00511130"/>
    <w:rsid w:val="005153D3"/>
    <w:rsid w:val="0051695D"/>
    <w:rsid w:val="00525D8B"/>
    <w:rsid w:val="0053227E"/>
    <w:rsid w:val="00534612"/>
    <w:rsid w:val="00541AB7"/>
    <w:rsid w:val="005754FF"/>
    <w:rsid w:val="005A602E"/>
    <w:rsid w:val="005B7934"/>
    <w:rsid w:val="005C18AE"/>
    <w:rsid w:val="005C3727"/>
    <w:rsid w:val="005D2FC7"/>
    <w:rsid w:val="005D3E54"/>
    <w:rsid w:val="005F31D7"/>
    <w:rsid w:val="00600350"/>
    <w:rsid w:val="00620955"/>
    <w:rsid w:val="00623DC9"/>
    <w:rsid w:val="0062638B"/>
    <w:rsid w:val="0063148F"/>
    <w:rsid w:val="0063149A"/>
    <w:rsid w:val="00634BCE"/>
    <w:rsid w:val="00661D8F"/>
    <w:rsid w:val="006624DB"/>
    <w:rsid w:val="00690230"/>
    <w:rsid w:val="006913F3"/>
    <w:rsid w:val="006B6916"/>
    <w:rsid w:val="006D3576"/>
    <w:rsid w:val="006E06E3"/>
    <w:rsid w:val="006E6882"/>
    <w:rsid w:val="006F3AF9"/>
    <w:rsid w:val="0070454B"/>
    <w:rsid w:val="007118BF"/>
    <w:rsid w:val="00716D9A"/>
    <w:rsid w:val="00722AA3"/>
    <w:rsid w:val="00726A99"/>
    <w:rsid w:val="00770793"/>
    <w:rsid w:val="00781BCF"/>
    <w:rsid w:val="007B003E"/>
    <w:rsid w:val="007B5353"/>
    <w:rsid w:val="007C4ACA"/>
    <w:rsid w:val="007D0DE6"/>
    <w:rsid w:val="007E664D"/>
    <w:rsid w:val="008062E6"/>
    <w:rsid w:val="00824B7E"/>
    <w:rsid w:val="00831BDC"/>
    <w:rsid w:val="00833489"/>
    <w:rsid w:val="00835257"/>
    <w:rsid w:val="00843383"/>
    <w:rsid w:val="00865D06"/>
    <w:rsid w:val="008761F0"/>
    <w:rsid w:val="008768E3"/>
    <w:rsid w:val="0088284E"/>
    <w:rsid w:val="00894176"/>
    <w:rsid w:val="00895965"/>
    <w:rsid w:val="008A3BB6"/>
    <w:rsid w:val="008A51E4"/>
    <w:rsid w:val="008B4C47"/>
    <w:rsid w:val="008C5CA2"/>
    <w:rsid w:val="008E2B9C"/>
    <w:rsid w:val="008E5066"/>
    <w:rsid w:val="008E7B10"/>
    <w:rsid w:val="008F1969"/>
    <w:rsid w:val="008F603D"/>
    <w:rsid w:val="00902E99"/>
    <w:rsid w:val="00904D64"/>
    <w:rsid w:val="009068F7"/>
    <w:rsid w:val="00907A45"/>
    <w:rsid w:val="00912B4F"/>
    <w:rsid w:val="0092094F"/>
    <w:rsid w:val="00925D99"/>
    <w:rsid w:val="0093254C"/>
    <w:rsid w:val="00944ECC"/>
    <w:rsid w:val="009478DC"/>
    <w:rsid w:val="009522AA"/>
    <w:rsid w:val="00955DD6"/>
    <w:rsid w:val="009629B5"/>
    <w:rsid w:val="00967FF1"/>
    <w:rsid w:val="00977725"/>
    <w:rsid w:val="00986EDC"/>
    <w:rsid w:val="00992244"/>
    <w:rsid w:val="009B3E17"/>
    <w:rsid w:val="009B41B4"/>
    <w:rsid w:val="00A02AA7"/>
    <w:rsid w:val="00A11FA1"/>
    <w:rsid w:val="00A21EDE"/>
    <w:rsid w:val="00A23157"/>
    <w:rsid w:val="00A23C57"/>
    <w:rsid w:val="00A25B1D"/>
    <w:rsid w:val="00A26B06"/>
    <w:rsid w:val="00A31C95"/>
    <w:rsid w:val="00A34883"/>
    <w:rsid w:val="00A403B8"/>
    <w:rsid w:val="00A46E90"/>
    <w:rsid w:val="00A5152F"/>
    <w:rsid w:val="00A52DF7"/>
    <w:rsid w:val="00A702BF"/>
    <w:rsid w:val="00A81A8F"/>
    <w:rsid w:val="00A832D4"/>
    <w:rsid w:val="00A84614"/>
    <w:rsid w:val="00AA0ED5"/>
    <w:rsid w:val="00AA323B"/>
    <w:rsid w:val="00AB65F8"/>
    <w:rsid w:val="00AC15DB"/>
    <w:rsid w:val="00AC3038"/>
    <w:rsid w:val="00AF5503"/>
    <w:rsid w:val="00B054D1"/>
    <w:rsid w:val="00B140D1"/>
    <w:rsid w:val="00B16D6E"/>
    <w:rsid w:val="00B254AF"/>
    <w:rsid w:val="00B344F8"/>
    <w:rsid w:val="00B420A2"/>
    <w:rsid w:val="00B42DF7"/>
    <w:rsid w:val="00B46C1E"/>
    <w:rsid w:val="00B55505"/>
    <w:rsid w:val="00B572B2"/>
    <w:rsid w:val="00B61549"/>
    <w:rsid w:val="00B779FA"/>
    <w:rsid w:val="00B80DB7"/>
    <w:rsid w:val="00B838CC"/>
    <w:rsid w:val="00B83B16"/>
    <w:rsid w:val="00B91A6D"/>
    <w:rsid w:val="00BA7FE8"/>
    <w:rsid w:val="00BB0F6C"/>
    <w:rsid w:val="00BB3982"/>
    <w:rsid w:val="00BB43FA"/>
    <w:rsid w:val="00BB5A0E"/>
    <w:rsid w:val="00BB732E"/>
    <w:rsid w:val="00BB7E8B"/>
    <w:rsid w:val="00BC1F02"/>
    <w:rsid w:val="00BC5274"/>
    <w:rsid w:val="00BD0D04"/>
    <w:rsid w:val="00C04046"/>
    <w:rsid w:val="00C17629"/>
    <w:rsid w:val="00C45D14"/>
    <w:rsid w:val="00C6557A"/>
    <w:rsid w:val="00C80A6F"/>
    <w:rsid w:val="00C868C7"/>
    <w:rsid w:val="00CA50C8"/>
    <w:rsid w:val="00CA5690"/>
    <w:rsid w:val="00CB4301"/>
    <w:rsid w:val="00CB51DC"/>
    <w:rsid w:val="00CC72F4"/>
    <w:rsid w:val="00CD032F"/>
    <w:rsid w:val="00CD6223"/>
    <w:rsid w:val="00CE2708"/>
    <w:rsid w:val="00CE45DC"/>
    <w:rsid w:val="00CF4399"/>
    <w:rsid w:val="00D04061"/>
    <w:rsid w:val="00D043F9"/>
    <w:rsid w:val="00D07B9C"/>
    <w:rsid w:val="00D12D23"/>
    <w:rsid w:val="00D27C4B"/>
    <w:rsid w:val="00D34471"/>
    <w:rsid w:val="00D5054F"/>
    <w:rsid w:val="00D91E91"/>
    <w:rsid w:val="00D95F95"/>
    <w:rsid w:val="00DA1852"/>
    <w:rsid w:val="00DA448B"/>
    <w:rsid w:val="00DC3772"/>
    <w:rsid w:val="00DD1DE7"/>
    <w:rsid w:val="00DD7144"/>
    <w:rsid w:val="00E11D0C"/>
    <w:rsid w:val="00E14CCD"/>
    <w:rsid w:val="00E21388"/>
    <w:rsid w:val="00E24E0D"/>
    <w:rsid w:val="00E375E0"/>
    <w:rsid w:val="00E616DF"/>
    <w:rsid w:val="00E6310A"/>
    <w:rsid w:val="00E71F88"/>
    <w:rsid w:val="00E80E2E"/>
    <w:rsid w:val="00E97F85"/>
    <w:rsid w:val="00EB1519"/>
    <w:rsid w:val="00EB3176"/>
    <w:rsid w:val="00EB6701"/>
    <w:rsid w:val="00ED1779"/>
    <w:rsid w:val="00ED616A"/>
    <w:rsid w:val="00ED7DDB"/>
    <w:rsid w:val="00EF6328"/>
    <w:rsid w:val="00EF7694"/>
    <w:rsid w:val="00F072F6"/>
    <w:rsid w:val="00F0757F"/>
    <w:rsid w:val="00F279BE"/>
    <w:rsid w:val="00F4082C"/>
    <w:rsid w:val="00F4495A"/>
    <w:rsid w:val="00F474B5"/>
    <w:rsid w:val="00F61982"/>
    <w:rsid w:val="00F90A38"/>
    <w:rsid w:val="00F97920"/>
    <w:rsid w:val="00FB0B78"/>
    <w:rsid w:val="00FB389F"/>
    <w:rsid w:val="00FB40BA"/>
    <w:rsid w:val="00FD2AA3"/>
    <w:rsid w:val="00FD59BE"/>
    <w:rsid w:val="00FF71F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BBA7-C1BF-4AAB-8668-71E40F0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CB51DC"/>
    <w:pPr>
      <w:ind w:left="720"/>
      <w:contextualSpacing/>
    </w:pPr>
  </w:style>
  <w:style w:type="paragraph" w:customStyle="1" w:styleId="KonuBal1">
    <w:name w:val="Konu Başlığı1"/>
    <w:basedOn w:val="Normal"/>
    <w:rsid w:val="0099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2244"/>
    <w:rPr>
      <w:color w:val="0000FF"/>
      <w:u w:val="single"/>
    </w:rPr>
  </w:style>
  <w:style w:type="paragraph" w:customStyle="1" w:styleId="desc">
    <w:name w:val="desc"/>
    <w:basedOn w:val="Normal"/>
    <w:rsid w:val="0099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99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992244"/>
  </w:style>
  <w:style w:type="paragraph" w:styleId="GvdeMetni">
    <w:name w:val="Body Text"/>
    <w:basedOn w:val="Normal"/>
    <w:link w:val="GvdeMetniChar"/>
    <w:uiPriority w:val="1"/>
    <w:qFormat/>
    <w:rsid w:val="00116F7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6F79"/>
    <w:rPr>
      <w:rFonts w:ascii="Trebuchet MS" w:eastAsia="Trebuchet MS" w:hAnsi="Trebuchet MS" w:cs="Trebuchet MS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9325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DA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1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D194-F959-4A61-96FC-826EDFC1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Yılmaz</dc:creator>
  <cp:keywords/>
  <dc:description/>
  <cp:lastModifiedBy>Şebnem Yılmaz</cp:lastModifiedBy>
  <cp:revision>3</cp:revision>
  <dcterms:created xsi:type="dcterms:W3CDTF">2018-07-18T11:57:00Z</dcterms:created>
  <dcterms:modified xsi:type="dcterms:W3CDTF">2018-07-18T12:03:00Z</dcterms:modified>
</cp:coreProperties>
</file>